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BA53E" w14:textId="77777777" w:rsidR="008A31AD" w:rsidRDefault="00E17B41" w:rsidP="00E17B41">
      <w:pPr>
        <w:rPr>
          <w:rFonts w:ascii="OpenSans-Bold" w:hAnsi="OpenSans-Bold" w:cs="OpenSans-Bold"/>
          <w:b/>
          <w:bCs/>
          <w:color w:val="262626"/>
          <w:sz w:val="26"/>
          <w:szCs w:val="26"/>
        </w:rPr>
      </w:pPr>
      <w:r>
        <w:rPr>
          <w:rFonts w:ascii="OpenSans-Bold" w:hAnsi="OpenSans-Bold" w:cs="OpenSans-Bold"/>
          <w:b/>
          <w:bCs/>
          <w:color w:val="262626"/>
          <w:sz w:val="26"/>
          <w:szCs w:val="26"/>
        </w:rPr>
        <w:t>After reading the article by Thomas et al., comment on where your research, or your research interests, fit into the generational framework for health disparities research. If your work is 1st or 2</w:t>
      </w:r>
      <w:r>
        <w:rPr>
          <w:rFonts w:ascii="OpenSans-Bold" w:hAnsi="OpenSans-Bold" w:cs="OpenSans-Bold"/>
          <w:b/>
          <w:bCs/>
          <w:color w:val="262626"/>
          <w:sz w:val="20"/>
          <w:szCs w:val="20"/>
          <w:vertAlign w:val="superscript"/>
        </w:rPr>
        <w:t>nd</w:t>
      </w:r>
      <w:r>
        <w:rPr>
          <w:rFonts w:ascii="OpenSans-Bold" w:hAnsi="OpenSans-Bold" w:cs="OpenSans-Bold"/>
          <w:b/>
          <w:bCs/>
          <w:color w:val="262626"/>
          <w:sz w:val="26"/>
          <w:szCs w:val="26"/>
        </w:rPr>
        <w:t xml:space="preserve"> generation, comment on how your work could lead in the future to 3</w:t>
      </w:r>
      <w:r>
        <w:rPr>
          <w:rFonts w:ascii="OpenSans-Bold" w:hAnsi="OpenSans-Bold" w:cs="OpenSans-Bold"/>
          <w:b/>
          <w:bCs/>
          <w:color w:val="262626"/>
          <w:sz w:val="20"/>
          <w:szCs w:val="20"/>
          <w:vertAlign w:val="superscript"/>
        </w:rPr>
        <w:t>rd</w:t>
      </w:r>
      <w:r>
        <w:rPr>
          <w:rFonts w:ascii="OpenSans-Bold" w:hAnsi="OpenSans-Bold" w:cs="OpenSans-Bold"/>
          <w:b/>
          <w:bCs/>
          <w:color w:val="262626"/>
          <w:sz w:val="26"/>
          <w:szCs w:val="26"/>
        </w:rPr>
        <w:t xml:space="preserve"> or 4</w:t>
      </w:r>
      <w:r>
        <w:rPr>
          <w:rFonts w:ascii="OpenSans-Bold" w:hAnsi="OpenSans-Bold" w:cs="OpenSans-Bold"/>
          <w:b/>
          <w:bCs/>
          <w:color w:val="262626"/>
          <w:sz w:val="20"/>
          <w:szCs w:val="20"/>
          <w:vertAlign w:val="superscript"/>
        </w:rPr>
        <w:t>th</w:t>
      </w:r>
      <w:r>
        <w:rPr>
          <w:rFonts w:ascii="OpenSans-Bold" w:hAnsi="OpenSans-Bold" w:cs="OpenSans-Bold"/>
          <w:b/>
          <w:bCs/>
          <w:color w:val="262626"/>
          <w:sz w:val="26"/>
          <w:szCs w:val="26"/>
        </w:rPr>
        <w:t xml:space="preserve"> generation work.  If your work is 3</w:t>
      </w:r>
      <w:r>
        <w:rPr>
          <w:rFonts w:ascii="OpenSans-Bold" w:hAnsi="OpenSans-Bold" w:cs="OpenSans-Bold"/>
          <w:b/>
          <w:bCs/>
          <w:color w:val="262626"/>
          <w:sz w:val="20"/>
          <w:szCs w:val="20"/>
          <w:vertAlign w:val="superscript"/>
        </w:rPr>
        <w:t>rd</w:t>
      </w:r>
      <w:r>
        <w:rPr>
          <w:rFonts w:ascii="OpenSans-Bold" w:hAnsi="OpenSans-Bold" w:cs="OpenSans-Bold"/>
          <w:b/>
          <w:bCs/>
          <w:color w:val="262626"/>
          <w:sz w:val="26"/>
          <w:szCs w:val="26"/>
        </w:rPr>
        <w:t xml:space="preserve"> or 4</w:t>
      </w:r>
      <w:r>
        <w:rPr>
          <w:rFonts w:ascii="OpenSans-Bold" w:hAnsi="OpenSans-Bold" w:cs="OpenSans-Bold"/>
          <w:b/>
          <w:bCs/>
          <w:color w:val="262626"/>
          <w:sz w:val="20"/>
          <w:szCs w:val="20"/>
          <w:vertAlign w:val="superscript"/>
        </w:rPr>
        <w:t>th</w:t>
      </w:r>
      <w:r>
        <w:rPr>
          <w:rFonts w:ascii="OpenSans-Bold" w:hAnsi="OpenSans-Bold" w:cs="OpenSans-Bold"/>
          <w:b/>
          <w:bCs/>
          <w:color w:val="262626"/>
          <w:sz w:val="26"/>
          <w:szCs w:val="26"/>
        </w:rPr>
        <w:t xml:space="preserve"> generation, comment on what 1st and 2</w:t>
      </w:r>
      <w:r>
        <w:rPr>
          <w:rFonts w:ascii="OpenSans-Bold" w:hAnsi="OpenSans-Bold" w:cs="OpenSans-Bold"/>
          <w:b/>
          <w:bCs/>
          <w:color w:val="262626"/>
          <w:sz w:val="20"/>
          <w:szCs w:val="20"/>
          <w:vertAlign w:val="superscript"/>
        </w:rPr>
        <w:t>nd</w:t>
      </w:r>
      <w:r>
        <w:rPr>
          <w:rFonts w:ascii="OpenSans-Bold" w:hAnsi="OpenSans-Bold" w:cs="OpenSans-Bold"/>
          <w:b/>
          <w:bCs/>
          <w:color w:val="262626"/>
          <w:sz w:val="26"/>
          <w:szCs w:val="26"/>
        </w:rPr>
        <w:t xml:space="preserve"> generation work was necessary as a foundation for your current work (or current interests).</w:t>
      </w:r>
    </w:p>
    <w:p w14:paraId="0F4F0C86" w14:textId="77777777" w:rsidR="00E17B41" w:rsidRDefault="00E17B41" w:rsidP="00E17B41">
      <w:pPr>
        <w:rPr>
          <w:rFonts w:ascii="OpenSans-Bold" w:hAnsi="OpenSans-Bold" w:cs="OpenSans-Bold"/>
          <w:b/>
          <w:bCs/>
          <w:color w:val="262626"/>
          <w:sz w:val="26"/>
          <w:szCs w:val="26"/>
        </w:rPr>
      </w:pPr>
    </w:p>
    <w:p w14:paraId="66A031B7" w14:textId="77777777" w:rsidR="00E17B41" w:rsidRDefault="00E17B41" w:rsidP="00E17B41">
      <w:pPr>
        <w:rPr>
          <w:rFonts w:ascii="OpenSans-Bold" w:hAnsi="OpenSans-Bold" w:cs="OpenSans-Bold"/>
          <w:b/>
          <w:bCs/>
          <w:color w:val="262626"/>
          <w:sz w:val="26"/>
          <w:szCs w:val="26"/>
        </w:rPr>
      </w:pPr>
    </w:p>
    <w:p w14:paraId="2AA02CCC" w14:textId="77777777" w:rsidR="00D94D68" w:rsidRPr="00011FE8" w:rsidRDefault="00E17B41" w:rsidP="00E17B41">
      <w:pPr>
        <w:rPr>
          <w:rFonts w:ascii="Times New Roman" w:hAnsi="Times New Roman" w:cs="Times New Roman"/>
          <w:bCs/>
          <w:color w:val="262626"/>
          <w:sz w:val="26"/>
          <w:szCs w:val="26"/>
        </w:rPr>
      </w:pPr>
      <w:r w:rsidRPr="00011FE8">
        <w:rPr>
          <w:rFonts w:ascii="Times New Roman" w:hAnsi="Times New Roman" w:cs="Times New Roman"/>
          <w:bCs/>
          <w:color w:val="262626"/>
          <w:sz w:val="26"/>
          <w:szCs w:val="26"/>
        </w:rPr>
        <w:t xml:space="preserve">My research interests are in elucidating how the built and social environment influence breast cancer risk and based on Thomas’s framework </w:t>
      </w:r>
      <w:r w:rsidR="00D94D68" w:rsidRPr="00011FE8">
        <w:rPr>
          <w:rFonts w:ascii="Times New Roman" w:hAnsi="Times New Roman" w:cs="Times New Roman"/>
          <w:bCs/>
          <w:color w:val="262626"/>
          <w:sz w:val="26"/>
          <w:szCs w:val="26"/>
        </w:rPr>
        <w:t xml:space="preserve">this </w:t>
      </w:r>
      <w:r w:rsidRPr="00011FE8">
        <w:rPr>
          <w:rFonts w:ascii="Times New Roman" w:hAnsi="Times New Roman" w:cs="Times New Roman"/>
          <w:bCs/>
          <w:color w:val="262626"/>
          <w:sz w:val="26"/>
          <w:szCs w:val="26"/>
        </w:rPr>
        <w:t>appears to be 2</w:t>
      </w:r>
      <w:r w:rsidRPr="00011FE8">
        <w:rPr>
          <w:rFonts w:ascii="Times New Roman" w:hAnsi="Times New Roman" w:cs="Times New Roman"/>
          <w:bCs/>
          <w:color w:val="262626"/>
          <w:sz w:val="26"/>
          <w:szCs w:val="26"/>
          <w:vertAlign w:val="superscript"/>
        </w:rPr>
        <w:t>nd</w:t>
      </w:r>
      <w:r w:rsidRPr="00011FE8">
        <w:rPr>
          <w:rFonts w:ascii="Times New Roman" w:hAnsi="Times New Roman" w:cs="Times New Roman"/>
          <w:bCs/>
          <w:color w:val="262626"/>
          <w:sz w:val="26"/>
          <w:szCs w:val="26"/>
        </w:rPr>
        <w:t xml:space="preserve"> generation research. </w:t>
      </w:r>
      <w:r w:rsidR="00D94D68" w:rsidRPr="00011FE8">
        <w:rPr>
          <w:rFonts w:ascii="Times New Roman" w:hAnsi="Times New Roman" w:cs="Times New Roman"/>
          <w:bCs/>
          <w:color w:val="262626"/>
          <w:sz w:val="26"/>
          <w:szCs w:val="26"/>
        </w:rPr>
        <w:t>There is some evidence that neighborhood socioeconomic status, food and recreational environment, and concentration of racial/ethnic minorities are associated with cancer incidence and survival. Integrating these and other social and environmental factors with clinical data is important not only for understanding how these factors independently and jointly influence breast cancer etiology, but it has direct implications for improving breast cancer prevention, detection, diagnosis, treatment, and survivorship strategies, all third generation research.</w:t>
      </w:r>
    </w:p>
    <w:p w14:paraId="5DE3567D" w14:textId="77777777" w:rsidR="00D94D68" w:rsidRPr="00011FE8" w:rsidRDefault="00D94D68" w:rsidP="00E17B41">
      <w:pPr>
        <w:rPr>
          <w:rFonts w:ascii="Times New Roman" w:hAnsi="Times New Roman" w:cs="Times New Roman"/>
          <w:bCs/>
          <w:color w:val="262626"/>
          <w:sz w:val="26"/>
          <w:szCs w:val="26"/>
        </w:rPr>
      </w:pPr>
    </w:p>
    <w:p w14:paraId="7579E514" w14:textId="77777777" w:rsidR="00E17B41" w:rsidRDefault="00E17B41" w:rsidP="00E17B41">
      <w:pPr>
        <w:rPr>
          <w:rFonts w:ascii="OpenSans-Bold" w:hAnsi="OpenSans-Bold" w:cs="OpenSans-Bold"/>
          <w:b/>
          <w:bCs/>
          <w:color w:val="262626"/>
          <w:sz w:val="26"/>
          <w:szCs w:val="26"/>
        </w:rPr>
      </w:pPr>
      <w:r>
        <w:rPr>
          <w:rFonts w:ascii="OpenSans-Bold" w:hAnsi="OpenSans-Bold" w:cs="OpenSans-Bold"/>
          <w:b/>
          <w:bCs/>
          <w:color w:val="262626"/>
          <w:sz w:val="26"/>
          <w:szCs w:val="26"/>
        </w:rPr>
        <w:t>The barbershop hypertension intervention, while essentially a clinical services intervention operating at either the fence or safety-net level as described by Jones, has some engagement with the social determinants of health. What aspects of this program might be generalizable to other areas of health? How might this apply to your area of research?</w:t>
      </w:r>
    </w:p>
    <w:p w14:paraId="60563124" w14:textId="77777777" w:rsidR="00D94D68" w:rsidRDefault="00D94D68" w:rsidP="00E17B41">
      <w:pPr>
        <w:rPr>
          <w:rFonts w:ascii="OpenSans-Bold" w:hAnsi="OpenSans-Bold" w:cs="OpenSans-Bold"/>
          <w:b/>
          <w:bCs/>
          <w:color w:val="262626"/>
          <w:sz w:val="26"/>
          <w:szCs w:val="26"/>
        </w:rPr>
      </w:pPr>
    </w:p>
    <w:p w14:paraId="65A81C1A" w14:textId="77777777" w:rsidR="00D94D68" w:rsidRDefault="00D94D68" w:rsidP="00E17B41">
      <w:pPr>
        <w:rPr>
          <w:rFonts w:ascii="OpenSans-Bold" w:hAnsi="OpenSans-Bold" w:cs="OpenSans-Bold"/>
          <w:b/>
          <w:bCs/>
          <w:color w:val="262626"/>
          <w:sz w:val="26"/>
          <w:szCs w:val="26"/>
        </w:rPr>
      </w:pPr>
    </w:p>
    <w:p w14:paraId="74D093C2" w14:textId="70F62AE0" w:rsidR="00E17B41" w:rsidRPr="00011FE8" w:rsidRDefault="006F2FE6" w:rsidP="00E17B41">
      <w:pPr>
        <w:rPr>
          <w:rFonts w:ascii="Times New Roman" w:hAnsi="Times New Roman" w:cs="Times New Roman"/>
        </w:rPr>
      </w:pPr>
      <w:r w:rsidRPr="00011FE8">
        <w:rPr>
          <w:rFonts w:ascii="Times New Roman" w:hAnsi="Times New Roman" w:cs="Times New Roman"/>
          <w:bCs/>
          <w:color w:val="262626"/>
          <w:sz w:val="26"/>
          <w:szCs w:val="26"/>
        </w:rPr>
        <w:t>Barbershops and salons have not only been used as settings in cardiovascular research but also diabetes, cancer, and HIV research. Incorporating community settings and engaging community members in disparities research is vital for ensuring that those hard to reach populations are served.  This type of intervention is useful for getting individuals to screen for cancer. However, the breast cancer screening gap between Black and White women has diminished and the disparities are now in diagnosis, treatment, and survivorship. I don’t think this type of setting would be effective at reducing those gaps. The factors that prevent women from se</w:t>
      </w:r>
      <w:r w:rsidR="00A81C38">
        <w:rPr>
          <w:rFonts w:ascii="Times New Roman" w:hAnsi="Times New Roman" w:cs="Times New Roman"/>
          <w:bCs/>
          <w:color w:val="262626"/>
          <w:sz w:val="26"/>
          <w:szCs w:val="26"/>
        </w:rPr>
        <w:t>eking screening are different f</w:t>
      </w:r>
      <w:r w:rsidRPr="00011FE8">
        <w:rPr>
          <w:rFonts w:ascii="Times New Roman" w:hAnsi="Times New Roman" w:cs="Times New Roman"/>
          <w:bCs/>
          <w:color w:val="262626"/>
          <w:sz w:val="26"/>
          <w:szCs w:val="26"/>
        </w:rPr>
        <w:t>r</w:t>
      </w:r>
      <w:r w:rsidR="00A81C38">
        <w:rPr>
          <w:rFonts w:ascii="Times New Roman" w:hAnsi="Times New Roman" w:cs="Times New Roman"/>
          <w:bCs/>
          <w:color w:val="262626"/>
          <w:sz w:val="26"/>
          <w:szCs w:val="26"/>
        </w:rPr>
        <w:t>o</w:t>
      </w:r>
      <w:r w:rsidRPr="00011FE8">
        <w:rPr>
          <w:rFonts w:ascii="Times New Roman" w:hAnsi="Times New Roman" w:cs="Times New Roman"/>
          <w:bCs/>
          <w:color w:val="262626"/>
          <w:sz w:val="26"/>
          <w:szCs w:val="26"/>
        </w:rPr>
        <w:t xml:space="preserve">m the factors that influence their </w:t>
      </w:r>
      <w:r w:rsidR="00011FE8" w:rsidRPr="00011FE8">
        <w:rPr>
          <w:rFonts w:ascii="Times New Roman" w:hAnsi="Times New Roman" w:cs="Times New Roman"/>
          <w:bCs/>
          <w:color w:val="262626"/>
          <w:sz w:val="26"/>
          <w:szCs w:val="26"/>
        </w:rPr>
        <w:t>likelih</w:t>
      </w:r>
      <w:r w:rsidRPr="00011FE8">
        <w:rPr>
          <w:rFonts w:ascii="Times New Roman" w:hAnsi="Times New Roman" w:cs="Times New Roman"/>
          <w:bCs/>
          <w:color w:val="262626"/>
          <w:sz w:val="26"/>
          <w:szCs w:val="26"/>
        </w:rPr>
        <w:t xml:space="preserve">ood to get diagnostic testing and treatment. </w:t>
      </w:r>
      <w:r w:rsidR="00011FE8" w:rsidRPr="00011FE8">
        <w:rPr>
          <w:rFonts w:ascii="Times New Roman" w:hAnsi="Times New Roman" w:cs="Times New Roman"/>
          <w:bCs/>
          <w:color w:val="262626"/>
          <w:sz w:val="26"/>
          <w:szCs w:val="26"/>
        </w:rPr>
        <w:t>In addition, factors that influence breast cancer risk such as diet, physical activity, parity, and breast feeding may be encoura</w:t>
      </w:r>
      <w:r w:rsidR="00A81C38">
        <w:rPr>
          <w:rFonts w:ascii="Times New Roman" w:hAnsi="Times New Roman" w:cs="Times New Roman"/>
          <w:bCs/>
          <w:color w:val="262626"/>
          <w:sz w:val="26"/>
          <w:szCs w:val="26"/>
        </w:rPr>
        <w:t xml:space="preserve">ged through salon interventions, </w:t>
      </w:r>
      <w:r w:rsidR="00011FE8" w:rsidRPr="00011FE8">
        <w:rPr>
          <w:rFonts w:ascii="Times New Roman" w:hAnsi="Times New Roman" w:cs="Times New Roman"/>
          <w:bCs/>
          <w:color w:val="262626"/>
          <w:sz w:val="26"/>
          <w:szCs w:val="26"/>
        </w:rPr>
        <w:t>however</w:t>
      </w:r>
      <w:r w:rsidR="00A81C38">
        <w:rPr>
          <w:rFonts w:ascii="Times New Roman" w:hAnsi="Times New Roman" w:cs="Times New Roman"/>
          <w:bCs/>
          <w:color w:val="262626"/>
          <w:sz w:val="26"/>
          <w:szCs w:val="26"/>
        </w:rPr>
        <w:t xml:space="preserve">, </w:t>
      </w:r>
      <w:r w:rsidR="00011FE8" w:rsidRPr="00011FE8">
        <w:rPr>
          <w:rFonts w:ascii="Times New Roman" w:hAnsi="Times New Roman" w:cs="Times New Roman"/>
          <w:bCs/>
          <w:color w:val="262626"/>
          <w:sz w:val="26"/>
          <w:szCs w:val="26"/>
        </w:rPr>
        <w:t xml:space="preserve">these factors are influenced by upstream determinants so this type of intervention may not be sufficient to influence these behaviors. </w:t>
      </w:r>
      <w:bookmarkStart w:id="0" w:name="_GoBack"/>
      <w:bookmarkEnd w:id="0"/>
    </w:p>
    <w:sectPr w:rsidR="00E17B41" w:rsidRPr="00011FE8" w:rsidSect="000D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OpenSans-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41"/>
    <w:rsid w:val="00011FE8"/>
    <w:rsid w:val="000D5D45"/>
    <w:rsid w:val="002C0F36"/>
    <w:rsid w:val="00663A4E"/>
    <w:rsid w:val="00677762"/>
    <w:rsid w:val="006F2FE6"/>
    <w:rsid w:val="0093705A"/>
    <w:rsid w:val="00A81C38"/>
    <w:rsid w:val="00A9567A"/>
    <w:rsid w:val="00B46896"/>
    <w:rsid w:val="00B853BB"/>
    <w:rsid w:val="00D6301A"/>
    <w:rsid w:val="00D94D68"/>
    <w:rsid w:val="00E17B41"/>
    <w:rsid w:val="00E87407"/>
    <w:rsid w:val="00F32F98"/>
    <w:rsid w:val="00F6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B3A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391</Words>
  <Characters>2231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2016-03-13T18:15:00Z</dcterms:created>
  <dcterms:modified xsi:type="dcterms:W3CDTF">2016-03-14T04:41:00Z</dcterms:modified>
</cp:coreProperties>
</file>