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D52A6" w14:textId="77777777" w:rsidR="00D143BB" w:rsidRPr="00B40C25" w:rsidRDefault="00FA6A36" w:rsidP="00FA19DE">
      <w:pPr>
        <w:spacing w:after="120"/>
        <w:contextualSpacing/>
        <w:jc w:val="center"/>
        <w:rPr>
          <w:b/>
          <w:sz w:val="24"/>
          <w:szCs w:val="24"/>
        </w:rPr>
      </w:pPr>
      <w:r w:rsidRPr="00B40C25">
        <w:rPr>
          <w:b/>
          <w:sz w:val="24"/>
          <w:szCs w:val="24"/>
        </w:rPr>
        <w:t>Social Determinants of Health and Health Disparities</w:t>
      </w:r>
    </w:p>
    <w:p w14:paraId="6808A748" w14:textId="77777777" w:rsidR="00DB5328" w:rsidRPr="00B40C25" w:rsidRDefault="003A4F81" w:rsidP="00FA19DE">
      <w:pPr>
        <w:spacing w:after="120"/>
        <w:contextualSpacing/>
        <w:jc w:val="center"/>
        <w:rPr>
          <w:b/>
          <w:sz w:val="24"/>
          <w:szCs w:val="24"/>
        </w:rPr>
      </w:pPr>
      <w:r w:rsidRPr="00B40C25">
        <w:rPr>
          <w:b/>
          <w:sz w:val="24"/>
          <w:szCs w:val="24"/>
        </w:rPr>
        <w:t>Reading Reflection for Biological Mechanisms Lecture</w:t>
      </w:r>
    </w:p>
    <w:p w14:paraId="2F067476" w14:textId="77777777" w:rsidR="00FA19DE" w:rsidRPr="00B40C25" w:rsidRDefault="003A4F81" w:rsidP="00FA19DE">
      <w:pPr>
        <w:spacing w:after="120"/>
        <w:contextualSpacing/>
        <w:jc w:val="center"/>
        <w:rPr>
          <w:b/>
          <w:sz w:val="24"/>
          <w:szCs w:val="24"/>
        </w:rPr>
      </w:pPr>
      <w:r w:rsidRPr="00B40C25">
        <w:rPr>
          <w:b/>
          <w:sz w:val="24"/>
          <w:szCs w:val="24"/>
        </w:rPr>
        <w:t xml:space="preserve">Due: </w:t>
      </w:r>
      <w:r w:rsidR="00FA6A36" w:rsidRPr="00B40C25">
        <w:rPr>
          <w:b/>
          <w:sz w:val="24"/>
          <w:szCs w:val="24"/>
        </w:rPr>
        <w:t>2/2/16</w:t>
      </w:r>
      <w:r w:rsidR="00AB6160" w:rsidRPr="00B40C25">
        <w:rPr>
          <w:b/>
          <w:sz w:val="24"/>
          <w:szCs w:val="24"/>
        </w:rPr>
        <w:t xml:space="preserve"> </w:t>
      </w:r>
    </w:p>
    <w:p w14:paraId="25AE9DA6" w14:textId="77777777" w:rsidR="00FA19DE" w:rsidRPr="00B40C25" w:rsidRDefault="00FA19DE" w:rsidP="00FA19DE">
      <w:pPr>
        <w:spacing w:after="120"/>
        <w:contextualSpacing/>
        <w:jc w:val="center"/>
        <w:rPr>
          <w:b/>
          <w:sz w:val="24"/>
          <w:szCs w:val="24"/>
        </w:rPr>
      </w:pPr>
    </w:p>
    <w:p w14:paraId="36E2A76C" w14:textId="77777777" w:rsidR="00FA19DE" w:rsidRPr="00B40C25" w:rsidRDefault="00FA19DE" w:rsidP="00FA19DE">
      <w:pPr>
        <w:spacing w:after="120"/>
        <w:contextualSpacing/>
        <w:rPr>
          <w:b/>
          <w:sz w:val="24"/>
          <w:szCs w:val="24"/>
        </w:rPr>
      </w:pPr>
      <w:r w:rsidRPr="00B40C25">
        <w:rPr>
          <w:b/>
          <w:sz w:val="24"/>
          <w:szCs w:val="24"/>
        </w:rPr>
        <w:t xml:space="preserve">Questions Related to Week </w:t>
      </w:r>
      <w:r w:rsidR="00FA6A36" w:rsidRPr="00B40C25">
        <w:rPr>
          <w:b/>
          <w:sz w:val="24"/>
          <w:szCs w:val="24"/>
        </w:rPr>
        <w:t>5</w:t>
      </w:r>
      <w:r w:rsidRPr="00B40C25">
        <w:rPr>
          <w:b/>
          <w:sz w:val="24"/>
          <w:szCs w:val="24"/>
        </w:rPr>
        <w:t xml:space="preserve"> Readings:</w:t>
      </w:r>
    </w:p>
    <w:p w14:paraId="303DA3F7" w14:textId="77777777" w:rsidR="00FA19DE" w:rsidRPr="00B40C25" w:rsidRDefault="003A4F81" w:rsidP="00FA19DE">
      <w:pPr>
        <w:pStyle w:val="ListParagraph"/>
        <w:numPr>
          <w:ilvl w:val="0"/>
          <w:numId w:val="3"/>
        </w:numPr>
        <w:spacing w:after="120"/>
        <w:rPr>
          <w:sz w:val="24"/>
          <w:szCs w:val="24"/>
        </w:rPr>
      </w:pPr>
      <w:r w:rsidRPr="00B40C25">
        <w:rPr>
          <w:sz w:val="24"/>
          <w:szCs w:val="24"/>
        </w:rP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47C80A61" w14:textId="72D2B132" w:rsidR="003A4F81" w:rsidRPr="00B40C25" w:rsidRDefault="005F3E0C" w:rsidP="003A4F81">
      <w:pPr>
        <w:spacing w:after="120"/>
        <w:rPr>
          <w:sz w:val="24"/>
          <w:szCs w:val="24"/>
        </w:rPr>
      </w:pPr>
      <w:r w:rsidRPr="00B40C25">
        <w:rPr>
          <w:sz w:val="24"/>
          <w:szCs w:val="24"/>
        </w:rPr>
        <w:t>Yes, I believe this mechanism is relevant in humans. “</w:t>
      </w:r>
      <w:r w:rsidR="00064F64" w:rsidRPr="00B40C25">
        <w:rPr>
          <w:sz w:val="24"/>
          <w:szCs w:val="24"/>
        </w:rPr>
        <w:t>M</w:t>
      </w:r>
      <w:r w:rsidRPr="00B40C25">
        <w:rPr>
          <w:sz w:val="24"/>
          <w:szCs w:val="24"/>
        </w:rPr>
        <w:t>aternal licking and grooming” in mice could be equivalent to a</w:t>
      </w:r>
      <w:r w:rsidR="00064F64" w:rsidRPr="00B40C25">
        <w:rPr>
          <w:sz w:val="24"/>
          <w:szCs w:val="24"/>
        </w:rPr>
        <w:t xml:space="preserve"> (human) mother holding her baby, spending time speaking</w:t>
      </w:r>
      <w:r w:rsidR="000B3619" w:rsidRPr="00B40C25">
        <w:rPr>
          <w:sz w:val="24"/>
          <w:szCs w:val="24"/>
        </w:rPr>
        <w:t xml:space="preserve"> and interacting</w:t>
      </w:r>
      <w:r w:rsidR="00064F64" w:rsidRPr="00B40C25">
        <w:rPr>
          <w:sz w:val="24"/>
          <w:szCs w:val="24"/>
        </w:rPr>
        <w:t xml:space="preserve"> with him/her, responding appropriately when the baby cries or needs attention; in other </w:t>
      </w:r>
      <w:r w:rsidR="00373EEE" w:rsidRPr="00B40C25">
        <w:rPr>
          <w:sz w:val="24"/>
          <w:szCs w:val="24"/>
        </w:rPr>
        <w:t>words,</w:t>
      </w:r>
      <w:r w:rsidR="00064F64" w:rsidRPr="00B40C25">
        <w:rPr>
          <w:sz w:val="24"/>
          <w:szCs w:val="24"/>
        </w:rPr>
        <w:t xml:space="preserve"> what we sometimes call “maternal bonding”. I also believe the time sensitivity Weaver et al described in the mice also applies to humans, with the postnatal period being a significantly sensitive period </w:t>
      </w:r>
      <w:r w:rsidR="00B40C25" w:rsidRPr="00B40C25">
        <w:rPr>
          <w:sz w:val="24"/>
          <w:szCs w:val="24"/>
        </w:rPr>
        <w:t>for</w:t>
      </w:r>
      <w:r w:rsidR="00064F64" w:rsidRPr="00B40C25">
        <w:rPr>
          <w:sz w:val="24"/>
          <w:szCs w:val="24"/>
        </w:rPr>
        <w:t xml:space="preserve"> this maternal</w:t>
      </w:r>
      <w:r w:rsidR="000B3619" w:rsidRPr="00B40C25">
        <w:rPr>
          <w:sz w:val="24"/>
          <w:szCs w:val="24"/>
        </w:rPr>
        <w:t xml:space="preserve"> bonding. Though the postnatal period is critical in developing these bonds, these bonds can </w:t>
      </w:r>
      <w:r w:rsidR="00A53A01">
        <w:rPr>
          <w:sz w:val="24"/>
          <w:szCs w:val="24"/>
        </w:rPr>
        <w:t xml:space="preserve">still </w:t>
      </w:r>
      <w:r w:rsidR="000B3619" w:rsidRPr="00B40C25">
        <w:rPr>
          <w:sz w:val="24"/>
          <w:szCs w:val="24"/>
        </w:rPr>
        <w:t xml:space="preserve">be formed throughout infancy and early toddlerhood, and with other primary caregivers (Spinner. </w:t>
      </w:r>
      <w:r w:rsidR="000B3619" w:rsidRPr="00B40C25">
        <w:rPr>
          <w:rFonts w:cs="Helvetica"/>
          <w:sz w:val="24"/>
          <w:szCs w:val="24"/>
        </w:rPr>
        <w:t>Can Fam Physician. 1978: 1151–1153</w:t>
      </w:r>
      <w:r w:rsidR="000B3619" w:rsidRPr="00B40C25">
        <w:rPr>
          <w:rFonts w:cs="Helvetica"/>
          <w:sz w:val="24"/>
          <w:szCs w:val="24"/>
        </w:rPr>
        <w:t>)</w:t>
      </w:r>
      <w:r w:rsidR="00064F64" w:rsidRPr="00B40C25">
        <w:rPr>
          <w:sz w:val="24"/>
          <w:szCs w:val="24"/>
        </w:rPr>
        <w:t xml:space="preserve">. </w:t>
      </w:r>
    </w:p>
    <w:p w14:paraId="6043084C" w14:textId="77777777" w:rsidR="003A4F81" w:rsidRPr="00B40C25" w:rsidRDefault="003A4F81" w:rsidP="003A4F81">
      <w:pPr>
        <w:spacing w:after="120"/>
        <w:rPr>
          <w:sz w:val="24"/>
          <w:szCs w:val="24"/>
        </w:rPr>
      </w:pPr>
    </w:p>
    <w:p w14:paraId="06A23C61" w14:textId="77777777" w:rsidR="003A4F81" w:rsidRPr="00B40C25" w:rsidRDefault="003A4F81" w:rsidP="003A4F81">
      <w:pPr>
        <w:pStyle w:val="ListParagraph"/>
        <w:numPr>
          <w:ilvl w:val="0"/>
          <w:numId w:val="3"/>
        </w:numPr>
        <w:spacing w:after="120"/>
        <w:rPr>
          <w:sz w:val="24"/>
          <w:szCs w:val="24"/>
        </w:rPr>
      </w:pPr>
      <w:r w:rsidRPr="00B40C25">
        <w:rPr>
          <w:sz w:val="24"/>
          <w:szCs w:val="24"/>
        </w:rPr>
        <w:t xml:space="preserve">Gruenewald, in contrast, emphasize the </w:t>
      </w:r>
      <w:r w:rsidRPr="00B40C25">
        <w:rPr>
          <w:i/>
          <w:sz w:val="24"/>
          <w:szCs w:val="24"/>
        </w:rPr>
        <w:t>cumulative</w:t>
      </w:r>
      <w:r w:rsidRPr="00B40C25">
        <w:rPr>
          <w:sz w:val="24"/>
          <w:szCs w:val="24"/>
        </w:rPr>
        <w:t xml:space="preserve"> effects of SES adversity on a multi-system allostatic load measure.   Do you think that the Gruenewald findings are consistent, inconsistent, or unrelated to the Weaver findings?  Explain.  </w:t>
      </w:r>
    </w:p>
    <w:p w14:paraId="18F316E1" w14:textId="0FEB3491" w:rsidR="003A4F81" w:rsidRPr="00B40C25" w:rsidRDefault="00D93C25" w:rsidP="003A4F81">
      <w:pPr>
        <w:spacing w:after="120"/>
        <w:rPr>
          <w:sz w:val="24"/>
          <w:szCs w:val="24"/>
        </w:rPr>
      </w:pPr>
      <w:r w:rsidRPr="00B40C25">
        <w:rPr>
          <w:sz w:val="24"/>
          <w:szCs w:val="24"/>
        </w:rPr>
        <w:t>I believe the Gruenewald findings are both consistent</w:t>
      </w:r>
      <w:r w:rsidR="00B40C25">
        <w:rPr>
          <w:sz w:val="24"/>
          <w:szCs w:val="24"/>
        </w:rPr>
        <w:t xml:space="preserve"> in ideology</w:t>
      </w:r>
      <w:r w:rsidRPr="00B40C25">
        <w:rPr>
          <w:sz w:val="24"/>
          <w:szCs w:val="24"/>
        </w:rPr>
        <w:t xml:space="preserve"> but </w:t>
      </w:r>
      <w:r w:rsidR="00A53A01">
        <w:rPr>
          <w:sz w:val="24"/>
          <w:szCs w:val="24"/>
        </w:rPr>
        <w:t>at the same time</w:t>
      </w:r>
      <w:r w:rsidRPr="00B40C25">
        <w:rPr>
          <w:sz w:val="24"/>
          <w:szCs w:val="24"/>
        </w:rPr>
        <w:t xml:space="preserve"> slightly different</w:t>
      </w:r>
      <w:r w:rsidR="00B40C25">
        <w:rPr>
          <w:sz w:val="24"/>
          <w:szCs w:val="24"/>
        </w:rPr>
        <w:t xml:space="preserve"> in timing</w:t>
      </w:r>
      <w:r w:rsidRPr="00B40C25">
        <w:rPr>
          <w:sz w:val="24"/>
          <w:szCs w:val="24"/>
        </w:rPr>
        <w:t xml:space="preserve"> than the Weaver findings. Weaver describes this maternal bonding in mice as a positive event</w:t>
      </w:r>
      <w:r w:rsidR="00A53A01">
        <w:rPr>
          <w:sz w:val="24"/>
          <w:szCs w:val="24"/>
        </w:rPr>
        <w:t>, or a lack thereof,</w:t>
      </w:r>
      <w:r w:rsidRPr="00B40C25">
        <w:rPr>
          <w:sz w:val="24"/>
          <w:szCs w:val="24"/>
        </w:rPr>
        <w:t xml:space="preserve"> that</w:t>
      </w:r>
      <w:r w:rsidR="00B40C25">
        <w:rPr>
          <w:sz w:val="24"/>
          <w:szCs w:val="24"/>
        </w:rPr>
        <w:t xml:space="preserve"> when performed</w:t>
      </w:r>
      <w:r w:rsidR="00A53A01">
        <w:rPr>
          <w:sz w:val="24"/>
          <w:szCs w:val="24"/>
        </w:rPr>
        <w:t>, or not,</w:t>
      </w:r>
      <w:r w:rsidRPr="00B40C25">
        <w:rPr>
          <w:sz w:val="24"/>
          <w:szCs w:val="24"/>
        </w:rPr>
        <w:t xml:space="preserve"> during critical developmental periods </w:t>
      </w:r>
      <w:r w:rsidR="00A53A01">
        <w:rPr>
          <w:sz w:val="24"/>
          <w:szCs w:val="24"/>
        </w:rPr>
        <w:t>may</w:t>
      </w:r>
      <w:r w:rsidRPr="00B40C25">
        <w:rPr>
          <w:sz w:val="24"/>
          <w:szCs w:val="24"/>
        </w:rPr>
        <w:t xml:space="preserve"> have a profound effect on the pups’ </w:t>
      </w:r>
      <w:r w:rsidR="00B40C25">
        <w:rPr>
          <w:sz w:val="24"/>
          <w:szCs w:val="24"/>
        </w:rPr>
        <w:t>life</w:t>
      </w:r>
      <w:r w:rsidRPr="00B40C25">
        <w:rPr>
          <w:sz w:val="24"/>
          <w:szCs w:val="24"/>
        </w:rPr>
        <w:t xml:space="preserve"> (and their response to stress) later in life. Gruenewald describes a similar concept in that those of lower SES, and therefore exposed to high </w:t>
      </w:r>
      <w:r w:rsidR="00B40C25">
        <w:rPr>
          <w:sz w:val="24"/>
          <w:szCs w:val="24"/>
        </w:rPr>
        <w:t xml:space="preserve">social and environmental </w:t>
      </w:r>
      <w:r w:rsidRPr="00B40C25">
        <w:rPr>
          <w:sz w:val="24"/>
          <w:szCs w:val="24"/>
        </w:rPr>
        <w:t>stress (which could be the equivalent to stress exposure in pups not receiving the maternal bo</w:t>
      </w:r>
      <w:r w:rsidR="00556E0D">
        <w:rPr>
          <w:sz w:val="24"/>
          <w:szCs w:val="24"/>
        </w:rPr>
        <w:t xml:space="preserve">nding during critical periods) </w:t>
      </w:r>
      <w:r w:rsidRPr="00B40C25">
        <w:rPr>
          <w:sz w:val="24"/>
          <w:szCs w:val="24"/>
        </w:rPr>
        <w:t>suffer from negative health outcomes. To bring the two together</w:t>
      </w:r>
      <w:r w:rsidR="00410379">
        <w:rPr>
          <w:sz w:val="24"/>
          <w:szCs w:val="24"/>
        </w:rPr>
        <w:t xml:space="preserve"> (and using</w:t>
      </w:r>
      <w:r w:rsidRPr="00B40C25">
        <w:rPr>
          <w:sz w:val="24"/>
          <w:szCs w:val="24"/>
        </w:rPr>
        <w:t xml:space="preserve"> a human example for Weaver’s work</w:t>
      </w:r>
      <w:r w:rsidR="00410379">
        <w:rPr>
          <w:sz w:val="24"/>
          <w:szCs w:val="24"/>
        </w:rPr>
        <w:t>)</w:t>
      </w:r>
      <w:r w:rsidRPr="00B40C25">
        <w:rPr>
          <w:sz w:val="24"/>
          <w:szCs w:val="24"/>
        </w:rPr>
        <w:t>, Weaver describes a maternal bond that requires time and dedication on the mother’s part to a baby. Gruenewald states that those of low SES have</w:t>
      </w:r>
      <w:r w:rsidR="00556E0D">
        <w:rPr>
          <w:sz w:val="24"/>
          <w:szCs w:val="24"/>
        </w:rPr>
        <w:t xml:space="preserve"> higher allostatic load and therefore</w:t>
      </w:r>
      <w:r w:rsidRPr="00B40C25">
        <w:rPr>
          <w:sz w:val="24"/>
          <w:szCs w:val="24"/>
        </w:rPr>
        <w:t xml:space="preserve"> worse health </w:t>
      </w:r>
      <w:r w:rsidRPr="00B40C25">
        <w:rPr>
          <w:sz w:val="24"/>
          <w:szCs w:val="24"/>
        </w:rPr>
        <w:lastRenderedPageBreak/>
        <w:t xml:space="preserve">outcomes, so a single mother </w:t>
      </w:r>
      <w:r w:rsidR="00A53A01">
        <w:rPr>
          <w:sz w:val="24"/>
          <w:szCs w:val="24"/>
        </w:rPr>
        <w:t>working two</w:t>
      </w:r>
      <w:r w:rsidRPr="00B40C25">
        <w:rPr>
          <w:sz w:val="24"/>
          <w:szCs w:val="24"/>
        </w:rPr>
        <w:t xml:space="preserve"> jobs</w:t>
      </w:r>
      <w:r w:rsidR="00410379">
        <w:rPr>
          <w:sz w:val="24"/>
          <w:szCs w:val="24"/>
        </w:rPr>
        <w:t xml:space="preserve"> </w:t>
      </w:r>
      <w:r w:rsidRPr="00B40C25">
        <w:rPr>
          <w:sz w:val="24"/>
          <w:szCs w:val="24"/>
        </w:rPr>
        <w:t>just to feed</w:t>
      </w:r>
      <w:r w:rsidR="00A53A01">
        <w:rPr>
          <w:sz w:val="24"/>
          <w:szCs w:val="24"/>
        </w:rPr>
        <w:t xml:space="preserve"> and clothe</w:t>
      </w:r>
      <w:r w:rsidRPr="00B40C25">
        <w:rPr>
          <w:sz w:val="24"/>
          <w:szCs w:val="24"/>
        </w:rPr>
        <w:t xml:space="preserve"> her new child</w:t>
      </w:r>
      <w:r w:rsidR="00410379">
        <w:rPr>
          <w:sz w:val="24"/>
          <w:szCs w:val="24"/>
        </w:rPr>
        <w:t xml:space="preserve"> </w:t>
      </w:r>
      <w:r w:rsidR="00410379">
        <w:rPr>
          <w:sz w:val="24"/>
          <w:szCs w:val="24"/>
        </w:rPr>
        <w:t>(most likely considered to be of low SES)</w:t>
      </w:r>
      <w:r w:rsidR="00410379" w:rsidRPr="00B40C25">
        <w:rPr>
          <w:sz w:val="24"/>
          <w:szCs w:val="24"/>
        </w:rPr>
        <w:t xml:space="preserve"> </w:t>
      </w:r>
      <w:r w:rsidRPr="00B40C25">
        <w:rPr>
          <w:sz w:val="24"/>
          <w:szCs w:val="24"/>
        </w:rPr>
        <w:t xml:space="preserve"> may not have the means to stay home and spend quality bonding time with her child, and may have to leave her child in the care of others, who are less likely to form this critical bond that she would</w:t>
      </w:r>
      <w:r w:rsidR="00410379">
        <w:rPr>
          <w:sz w:val="24"/>
          <w:szCs w:val="24"/>
        </w:rPr>
        <w:t xml:space="preserve"> have</w:t>
      </w:r>
      <w:r w:rsidRPr="00B40C25">
        <w:rPr>
          <w:sz w:val="24"/>
          <w:szCs w:val="24"/>
        </w:rPr>
        <w:t xml:space="preserve"> if she had the chance. Therefore, in my opinion, Weaver and Gruenewald’s findings are stating similar things in different ways; young pups and children need attention and proper care </w:t>
      </w:r>
      <w:r w:rsidR="00A53A01">
        <w:rPr>
          <w:sz w:val="24"/>
          <w:szCs w:val="24"/>
        </w:rPr>
        <w:t>developed through</w:t>
      </w:r>
      <w:r w:rsidRPr="00B40C25">
        <w:rPr>
          <w:sz w:val="24"/>
          <w:szCs w:val="24"/>
        </w:rPr>
        <w:t xml:space="preserve"> critical relationships </w:t>
      </w:r>
      <w:r w:rsidR="00410379">
        <w:rPr>
          <w:sz w:val="24"/>
          <w:szCs w:val="24"/>
        </w:rPr>
        <w:t>with</w:t>
      </w:r>
      <w:r w:rsidRPr="00B40C25">
        <w:rPr>
          <w:sz w:val="24"/>
          <w:szCs w:val="24"/>
        </w:rPr>
        <w:t xml:space="preserve"> primary </w:t>
      </w:r>
      <w:r w:rsidR="00410379" w:rsidRPr="00B40C25">
        <w:rPr>
          <w:sz w:val="24"/>
          <w:szCs w:val="24"/>
        </w:rPr>
        <w:t>caregivers</w:t>
      </w:r>
      <w:r w:rsidRPr="00B40C25">
        <w:rPr>
          <w:sz w:val="24"/>
          <w:szCs w:val="24"/>
        </w:rPr>
        <w:t xml:space="preserve"> in order to avoid worse </w:t>
      </w:r>
      <w:r w:rsidR="00556E0D">
        <w:rPr>
          <w:sz w:val="24"/>
          <w:szCs w:val="24"/>
        </w:rPr>
        <w:t xml:space="preserve">health </w:t>
      </w:r>
      <w:r w:rsidRPr="00B40C25">
        <w:rPr>
          <w:sz w:val="24"/>
          <w:szCs w:val="24"/>
        </w:rPr>
        <w:t xml:space="preserve">outcomes. Gruenewald’s work describes </w:t>
      </w:r>
      <w:r w:rsidR="00410379">
        <w:rPr>
          <w:sz w:val="24"/>
          <w:szCs w:val="24"/>
        </w:rPr>
        <w:t>instances of when</w:t>
      </w:r>
      <w:r w:rsidRPr="00B40C25">
        <w:rPr>
          <w:sz w:val="24"/>
          <w:szCs w:val="24"/>
        </w:rPr>
        <w:t xml:space="preserve"> this relationship may </w:t>
      </w:r>
      <w:r w:rsidR="00410379">
        <w:rPr>
          <w:sz w:val="24"/>
          <w:szCs w:val="24"/>
        </w:rPr>
        <w:t>NOT</w:t>
      </w:r>
      <w:r w:rsidRPr="00B40C25">
        <w:rPr>
          <w:sz w:val="24"/>
          <w:szCs w:val="24"/>
        </w:rPr>
        <w:t xml:space="preserve"> occur; in those of low SES due to financial, social, and time </w:t>
      </w:r>
      <w:r w:rsidR="00410379">
        <w:rPr>
          <w:sz w:val="24"/>
          <w:szCs w:val="24"/>
        </w:rPr>
        <w:t>constraints</w:t>
      </w:r>
      <w:r w:rsidRPr="00B40C25">
        <w:rPr>
          <w:sz w:val="24"/>
          <w:szCs w:val="24"/>
        </w:rPr>
        <w:t>. Weaver describes critical time periods where these relationships are MOST important. Gruenewald states that these negative exposures can affect individuals throughout the lifetime. This is where their findings may contradict</w:t>
      </w:r>
      <w:r w:rsidR="00410379">
        <w:rPr>
          <w:sz w:val="24"/>
          <w:szCs w:val="24"/>
        </w:rPr>
        <w:t xml:space="preserve"> because Weaver emphasizes the critical periods</w:t>
      </w:r>
      <w:r w:rsidRPr="00B40C25">
        <w:rPr>
          <w:sz w:val="24"/>
          <w:szCs w:val="24"/>
        </w:rPr>
        <w:t xml:space="preserve">, </w:t>
      </w:r>
      <w:r w:rsidR="00556E0D">
        <w:rPr>
          <w:sz w:val="24"/>
          <w:szCs w:val="24"/>
        </w:rPr>
        <w:t>however</w:t>
      </w:r>
      <w:bookmarkStart w:id="0" w:name="_GoBack"/>
      <w:bookmarkEnd w:id="0"/>
      <w:r w:rsidRPr="00B40C25">
        <w:rPr>
          <w:sz w:val="24"/>
          <w:szCs w:val="24"/>
        </w:rPr>
        <w:t xml:space="preserve"> they could also be complimentary. Weaver does not state</w:t>
      </w:r>
      <w:r w:rsidR="00A53A01">
        <w:rPr>
          <w:sz w:val="24"/>
          <w:szCs w:val="24"/>
        </w:rPr>
        <w:t xml:space="preserve"> that</w:t>
      </w:r>
      <w:r w:rsidRPr="00B40C25">
        <w:rPr>
          <w:sz w:val="24"/>
          <w:szCs w:val="24"/>
        </w:rPr>
        <w:t xml:space="preserve"> these critical periods are the only periods, just that </w:t>
      </w:r>
      <w:r w:rsidR="00A53A01">
        <w:rPr>
          <w:sz w:val="24"/>
          <w:szCs w:val="24"/>
        </w:rPr>
        <w:t>these</w:t>
      </w:r>
      <w:r w:rsidRPr="00B40C25">
        <w:rPr>
          <w:sz w:val="24"/>
          <w:szCs w:val="24"/>
        </w:rPr>
        <w:t xml:space="preserve"> time period</w:t>
      </w:r>
      <w:r w:rsidR="00A53A01">
        <w:rPr>
          <w:sz w:val="24"/>
          <w:szCs w:val="24"/>
        </w:rPr>
        <w:t>s are</w:t>
      </w:r>
      <w:r w:rsidRPr="00B40C25">
        <w:rPr>
          <w:sz w:val="24"/>
          <w:szCs w:val="24"/>
        </w:rPr>
        <w:t xml:space="preserve"> even more critical than others. Gruenewald </w:t>
      </w:r>
      <w:r w:rsidR="004C103F" w:rsidRPr="00B40C25">
        <w:rPr>
          <w:sz w:val="24"/>
          <w:szCs w:val="24"/>
        </w:rPr>
        <w:t xml:space="preserve">argues timing is not as much the issue as </w:t>
      </w:r>
      <w:r w:rsidR="00410379">
        <w:rPr>
          <w:sz w:val="24"/>
          <w:szCs w:val="24"/>
        </w:rPr>
        <w:t xml:space="preserve">is </w:t>
      </w:r>
      <w:r w:rsidR="004C103F" w:rsidRPr="00B40C25">
        <w:rPr>
          <w:sz w:val="24"/>
          <w:szCs w:val="24"/>
        </w:rPr>
        <w:t>the missing “relationship” or allostatic load as he describes it</w:t>
      </w:r>
      <w:r w:rsidR="00A53A01">
        <w:rPr>
          <w:sz w:val="24"/>
          <w:szCs w:val="24"/>
        </w:rPr>
        <w:t xml:space="preserve"> to begin with</w:t>
      </w:r>
      <w:r w:rsidR="004C103F" w:rsidRPr="00B40C25">
        <w:rPr>
          <w:sz w:val="24"/>
          <w:szCs w:val="24"/>
        </w:rPr>
        <w:t xml:space="preserve">. </w:t>
      </w:r>
    </w:p>
    <w:p w14:paraId="40C16DB6" w14:textId="77777777" w:rsidR="003A4F81" w:rsidRPr="00B40C25" w:rsidRDefault="003A4F81" w:rsidP="003A4F81">
      <w:pPr>
        <w:spacing w:after="120"/>
        <w:rPr>
          <w:sz w:val="24"/>
          <w:szCs w:val="24"/>
        </w:rPr>
      </w:pPr>
    </w:p>
    <w:p w14:paraId="579AACE4" w14:textId="77777777" w:rsidR="003A4F81" w:rsidRPr="00B40C25" w:rsidRDefault="003A4F81" w:rsidP="003A4F81">
      <w:pPr>
        <w:pStyle w:val="ListParagraph"/>
        <w:numPr>
          <w:ilvl w:val="0"/>
          <w:numId w:val="3"/>
        </w:numPr>
        <w:spacing w:after="120"/>
        <w:rPr>
          <w:sz w:val="24"/>
          <w:szCs w:val="24"/>
        </w:rPr>
      </w:pPr>
      <w:r w:rsidRPr="00B40C25">
        <w:rPr>
          <w:sz w:val="24"/>
          <w:szCs w:val="24"/>
        </w:rPr>
        <w:t>Hertzmann and Boyce argue that “it is not genes or environment, nor is it genes and environment, but rather it is gene-by-environment interactions that influence developmental trajectories.”  To what extent do you think that GxE interactions can contribute to major disparities along racial/ethnic, socioeconomic, or geographic dimensions?</w:t>
      </w:r>
    </w:p>
    <w:p w14:paraId="63E7957F" w14:textId="6E9ABF8A" w:rsidR="00FA19DE" w:rsidRPr="00B40C25" w:rsidRDefault="00583827" w:rsidP="00FA19DE">
      <w:pPr>
        <w:rPr>
          <w:sz w:val="24"/>
          <w:szCs w:val="24"/>
        </w:rPr>
      </w:pPr>
      <w:r w:rsidRPr="00B40C25">
        <w:rPr>
          <w:sz w:val="24"/>
          <w:szCs w:val="24"/>
        </w:rPr>
        <w:t>I think that both the critical time periods</w:t>
      </w:r>
      <w:r w:rsidR="00F40F95" w:rsidRPr="00B40C25">
        <w:rPr>
          <w:sz w:val="24"/>
          <w:szCs w:val="24"/>
        </w:rPr>
        <w:t xml:space="preserve"> that Weaver described</w:t>
      </w:r>
      <w:r w:rsidRPr="00B40C25">
        <w:rPr>
          <w:sz w:val="24"/>
          <w:szCs w:val="24"/>
        </w:rPr>
        <w:t xml:space="preserve"> as well as </w:t>
      </w:r>
      <w:r w:rsidR="00F40F95" w:rsidRPr="00B40C25">
        <w:rPr>
          <w:sz w:val="24"/>
          <w:szCs w:val="24"/>
        </w:rPr>
        <w:t xml:space="preserve">the </w:t>
      </w:r>
      <w:r w:rsidRPr="00B40C25">
        <w:rPr>
          <w:sz w:val="24"/>
          <w:szCs w:val="24"/>
        </w:rPr>
        <w:t>constant exposure</w:t>
      </w:r>
      <w:r w:rsidR="00F40F95" w:rsidRPr="00B40C25">
        <w:rPr>
          <w:sz w:val="24"/>
          <w:szCs w:val="24"/>
        </w:rPr>
        <w:t xml:space="preserve"> to negative environments that Gruenewald described are means in which GXE interactions can contribute to major health disparities in all of the above mentioned dimensions. These negative exposures, during critical neural circuitry development time periods of childhood, or throughout young adulthood and beyond can alter genes through methylation and other mechanisms to cause worse outcomes across SES, racial/ethnic and geographic dimensions. This now “altered gene” can lead to worse health outcomes such as early onset of HTN or DM, or an altered non-response to commonly used medications in chronic illnesses</w:t>
      </w:r>
      <w:r w:rsidR="00210549">
        <w:rPr>
          <w:sz w:val="24"/>
          <w:szCs w:val="24"/>
        </w:rPr>
        <w:t>, and in many other ways that may remain indefinable at this time</w:t>
      </w:r>
      <w:r w:rsidR="00F40F95" w:rsidRPr="00B40C25">
        <w:rPr>
          <w:sz w:val="24"/>
          <w:szCs w:val="24"/>
        </w:rPr>
        <w:t>.</w:t>
      </w:r>
    </w:p>
    <w:sectPr w:rsidR="00FA19DE" w:rsidRPr="00B40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64F64"/>
    <w:rsid w:val="000B3619"/>
    <w:rsid w:val="00210549"/>
    <w:rsid w:val="0024315F"/>
    <w:rsid w:val="00373EEE"/>
    <w:rsid w:val="00380C4F"/>
    <w:rsid w:val="003A4F81"/>
    <w:rsid w:val="00410379"/>
    <w:rsid w:val="004C103F"/>
    <w:rsid w:val="00556E0D"/>
    <w:rsid w:val="00583827"/>
    <w:rsid w:val="005F3E0C"/>
    <w:rsid w:val="007421DE"/>
    <w:rsid w:val="008314B5"/>
    <w:rsid w:val="00A53A01"/>
    <w:rsid w:val="00AB6160"/>
    <w:rsid w:val="00B40C25"/>
    <w:rsid w:val="00CC1C3B"/>
    <w:rsid w:val="00D143BB"/>
    <w:rsid w:val="00D93C25"/>
    <w:rsid w:val="00DB44C3"/>
    <w:rsid w:val="00DB5328"/>
    <w:rsid w:val="00EA2852"/>
    <w:rsid w:val="00F40F95"/>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6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782</Words>
  <Characters>4460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Sonia Bouvron</cp:lastModifiedBy>
  <cp:revision>8</cp:revision>
  <dcterms:created xsi:type="dcterms:W3CDTF">2016-02-01T04:17:00Z</dcterms:created>
  <dcterms:modified xsi:type="dcterms:W3CDTF">2016-02-01T23:26:00Z</dcterms:modified>
</cp:coreProperties>
</file>