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40" w:rsidRDefault="007A3F40" w:rsidP="007A3F40">
      <w:pPr>
        <w:spacing w:after="120"/>
        <w:contextualSpacing/>
        <w:rPr>
          <w:b/>
        </w:rPr>
      </w:pPr>
      <w:r>
        <w:rPr>
          <w:b/>
        </w:rPr>
        <w:t>Molly Altman</w:t>
      </w:r>
    </w:p>
    <w:p w:rsidR="007A3F40" w:rsidRDefault="007A3F40" w:rsidP="007A3F40">
      <w:pPr>
        <w:spacing w:after="120"/>
        <w:contextualSpacing/>
        <w:rPr>
          <w:b/>
        </w:rPr>
      </w:pPr>
      <w:r>
        <w:rPr>
          <w:b/>
        </w:rPr>
        <w:t>EPI 222</w:t>
      </w:r>
    </w:p>
    <w:p w:rsidR="007A3F40" w:rsidRDefault="007A3F40" w:rsidP="007A3F40">
      <w:pPr>
        <w:spacing w:after="120"/>
        <w:contextualSpacing/>
        <w:rPr>
          <w:b/>
        </w:rPr>
      </w:pPr>
      <w:r>
        <w:rPr>
          <w:b/>
        </w:rPr>
        <w:t>Week 5 assignment</w:t>
      </w:r>
    </w:p>
    <w:p w:rsidR="00FA19DE" w:rsidRDefault="00FA6A36" w:rsidP="007A3F40">
      <w:pPr>
        <w:spacing w:after="120"/>
        <w:contextualSpacing/>
        <w:rPr>
          <w:b/>
        </w:rPr>
      </w:pPr>
      <w:r>
        <w:rPr>
          <w:b/>
        </w:rPr>
        <w:t>2/2/16</w:t>
      </w:r>
      <w:r w:rsidR="00AB6160">
        <w:rPr>
          <w:b/>
        </w:rPr>
        <w:t xml:space="preserve"> </w:t>
      </w:r>
    </w:p>
    <w:p w:rsidR="00FA19DE" w:rsidRDefault="00FA19DE" w:rsidP="00FA19DE">
      <w:pPr>
        <w:spacing w:after="120"/>
        <w:contextualSpacing/>
        <w:jc w:val="center"/>
        <w:rPr>
          <w:b/>
        </w:rPr>
      </w:pPr>
    </w:p>
    <w:p w:rsidR="00FA19DE" w:rsidRDefault="00FA19DE" w:rsidP="00FA19DE">
      <w:pPr>
        <w:spacing w:after="120"/>
        <w:contextualSpacing/>
        <w:rPr>
          <w:b/>
        </w:rPr>
      </w:pPr>
      <w:r>
        <w:rPr>
          <w:b/>
        </w:rPr>
        <w:t xml:space="preserve">Questions Related to Week </w:t>
      </w:r>
      <w:r w:rsidR="00FA6A36">
        <w:rPr>
          <w:b/>
        </w:rPr>
        <w:t>5</w:t>
      </w:r>
      <w:r>
        <w:rPr>
          <w:b/>
        </w:rPr>
        <w:t xml:space="preserve"> Readings:</w:t>
      </w:r>
    </w:p>
    <w:p w:rsidR="00FA19DE" w:rsidRDefault="003A4F81" w:rsidP="00FA19DE">
      <w:pPr>
        <w:pStyle w:val="ListParagraph"/>
        <w:numPr>
          <w:ilvl w:val="0"/>
          <w:numId w:val="3"/>
        </w:numPr>
        <w:spacing w:after="120"/>
      </w:pPr>
      <w:r>
        <w:t xml:space="preserve">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   Do you think this mechanism is relevant in humans?  If so, what behaviors are most analogous to “maternal licking and grooming”?  </w:t>
      </w:r>
    </w:p>
    <w:p w:rsidR="00081838" w:rsidRDefault="00081838" w:rsidP="003A4F81">
      <w:pPr>
        <w:spacing w:after="120"/>
      </w:pPr>
      <w:r>
        <w:t xml:space="preserve">I can definitely support the concept that these epigenetic patterns could carry over to humans. The concept of maternal bonding immediately after birth feels (to me) most closely analogous to the behaviors seen in rats in this study. Maternal bonding behaviors usually include behaviors such as talking to baby, touching baby, skin-to-skin contact, examining baby, cooing, and others. </w:t>
      </w:r>
      <w:r w:rsidR="007A3F40">
        <w:t xml:space="preserve">In the nurse-midwifery world, there is a concept of the “fourth stage of labor”: the immediate period within the first few hours after birth that includes crucial maternal-infant bonding behaviors. I wouldn’t be surprised if there were crucial time periods (such as the first few hours) that were most influential epigenetically. </w:t>
      </w:r>
    </w:p>
    <w:p w:rsidR="003A4F81" w:rsidRDefault="003A4F81" w:rsidP="003A4F81">
      <w:pPr>
        <w:pStyle w:val="ListParagraph"/>
        <w:numPr>
          <w:ilvl w:val="0"/>
          <w:numId w:val="3"/>
        </w:numPr>
        <w:spacing w:after="120"/>
      </w:pPr>
      <w:proofErr w:type="spellStart"/>
      <w:r>
        <w:t>Gruenewald</w:t>
      </w:r>
      <w:proofErr w:type="spellEnd"/>
      <w:r>
        <w:t xml:space="preserve">, in contrast, emphasize the </w:t>
      </w:r>
      <w:r w:rsidRPr="003A4F81">
        <w:rPr>
          <w:i/>
        </w:rPr>
        <w:t>cumulative</w:t>
      </w:r>
      <w:r>
        <w:t xml:space="preserve"> effects of SES adversity on a multi-system </w:t>
      </w:r>
      <w:proofErr w:type="spellStart"/>
      <w:r>
        <w:t>allostatic</w:t>
      </w:r>
      <w:proofErr w:type="spellEnd"/>
      <w:r>
        <w:t xml:space="preserve"> load measure.   Do you think that the </w:t>
      </w:r>
      <w:proofErr w:type="spellStart"/>
      <w:r>
        <w:t>Gruenewald</w:t>
      </w:r>
      <w:proofErr w:type="spellEnd"/>
      <w:r>
        <w:t xml:space="preserve"> findings are consistent, inconsistent, or unrelated to the Weaver findings?  Explain.  </w:t>
      </w:r>
    </w:p>
    <w:p w:rsidR="003A4F81" w:rsidRDefault="007A3F40" w:rsidP="003A4F81">
      <w:pPr>
        <w:spacing w:after="120"/>
      </w:pPr>
      <w:r>
        <w:t>I see these two concepts as inter-related, where not only are there crucial time periods within the life course that influence biological mechanisms surrounding health, but the magnitude of these (and other) influences across the life course also play a role. The two articles are examining different pathways of effect, neither of which happen in a bubble and have to be considered within a bigger picture of multi-factorial causal mechanisms</w:t>
      </w:r>
      <w:r w:rsidR="002F37B3">
        <w:t xml:space="preserve"> for health outcomes</w:t>
      </w:r>
      <w:r>
        <w:t xml:space="preserve">. </w:t>
      </w:r>
    </w:p>
    <w:p w:rsidR="003A4F81" w:rsidRPr="00FA19DE" w:rsidRDefault="003A4F81" w:rsidP="003A4F81">
      <w:pPr>
        <w:pStyle w:val="ListParagraph"/>
        <w:numPr>
          <w:ilvl w:val="0"/>
          <w:numId w:val="3"/>
        </w:numPr>
        <w:spacing w:after="120"/>
      </w:pPr>
      <w:proofErr w:type="spellStart"/>
      <w:r>
        <w:t>Hertzmann</w:t>
      </w:r>
      <w:proofErr w:type="spellEnd"/>
      <w:r>
        <w:t xml:space="preserve"> and Boyce argue that “it is not genes or environment, nor is it genes and environment, but rather it is gene-by-environment interactions that influence developmental trajectories.”  To what extent do you think that </w:t>
      </w:r>
      <w:proofErr w:type="spellStart"/>
      <w:r>
        <w:t>GxE</w:t>
      </w:r>
      <w:proofErr w:type="spellEnd"/>
      <w:r>
        <w:t xml:space="preserve"> interactions can contribute to major disparities along racial/ethnic, socioeconomic, or geographic dimensions?</w:t>
      </w:r>
    </w:p>
    <w:p w:rsidR="00FA19DE" w:rsidRPr="00DB5328" w:rsidRDefault="00E31D2E" w:rsidP="00FA19DE">
      <w:r>
        <w:t xml:space="preserve">Within the idea of disease processes being multi-factorial, consideration of the interactions of genes and environment is a crucial element in examining health disparities. I do disagree with the authors in discounting the cumulative effects and distinct effects of genes and environment, as I feel that the unique contributions must be factored into the equations, but the </w:t>
      </w:r>
      <w:proofErr w:type="spellStart"/>
      <w:r>
        <w:t>GxE</w:t>
      </w:r>
      <w:proofErr w:type="spellEnd"/>
      <w:r>
        <w:t xml:space="preserve"> interactions may be the strongest contributor to the </w:t>
      </w:r>
      <w:r w:rsidR="007E6C75">
        <w:t xml:space="preserve">known disparities in health outcomes. </w:t>
      </w:r>
      <w:bookmarkStart w:id="0" w:name="_GoBack"/>
      <w:bookmarkEnd w:id="0"/>
    </w:p>
    <w:sectPr w:rsidR="00FA19DE" w:rsidRPr="00DB5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28"/>
    <w:rsid w:val="00081838"/>
    <w:rsid w:val="0024315F"/>
    <w:rsid w:val="002F37B3"/>
    <w:rsid w:val="00380C4F"/>
    <w:rsid w:val="003A4F81"/>
    <w:rsid w:val="007421DE"/>
    <w:rsid w:val="007A3F40"/>
    <w:rsid w:val="007E6C75"/>
    <w:rsid w:val="00AB6160"/>
    <w:rsid w:val="00CC1C3B"/>
    <w:rsid w:val="00D143BB"/>
    <w:rsid w:val="00DB44C3"/>
    <w:rsid w:val="00DB5328"/>
    <w:rsid w:val="00E31D2E"/>
    <w:rsid w:val="00EA2852"/>
    <w:rsid w:val="00FA19DE"/>
    <w:rsid w:val="00FA6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2559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Molly Altman</cp:lastModifiedBy>
  <cp:revision>2</cp:revision>
  <dcterms:created xsi:type="dcterms:W3CDTF">2016-02-02T18:11:00Z</dcterms:created>
  <dcterms:modified xsi:type="dcterms:W3CDTF">2016-02-02T18:11:00Z</dcterms:modified>
</cp:coreProperties>
</file>