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B2979" w14:textId="77777777" w:rsidR="00D143BB" w:rsidRPr="00DB5328" w:rsidRDefault="00FA6A36" w:rsidP="00FA19DE">
      <w:pPr>
        <w:spacing w:after="120"/>
        <w:contextualSpacing/>
        <w:jc w:val="center"/>
        <w:rPr>
          <w:b/>
        </w:rPr>
      </w:pPr>
      <w:r>
        <w:rPr>
          <w:b/>
        </w:rPr>
        <w:t>Social Determinants of Health and Health Disparities</w:t>
      </w:r>
    </w:p>
    <w:p w14:paraId="3E82F1F5" w14:textId="77777777" w:rsidR="00DB5328" w:rsidRDefault="003A4F81" w:rsidP="00FA19DE">
      <w:pPr>
        <w:spacing w:after="120"/>
        <w:contextualSpacing/>
        <w:jc w:val="center"/>
        <w:rPr>
          <w:b/>
        </w:rPr>
      </w:pPr>
      <w:r>
        <w:rPr>
          <w:b/>
        </w:rPr>
        <w:t>Reading Reflection for Biological Mechanisms Lecture</w:t>
      </w:r>
    </w:p>
    <w:p w14:paraId="4089148D" w14:textId="77777777" w:rsidR="00FA19DE" w:rsidRDefault="003A4F81" w:rsidP="00FA19DE">
      <w:pPr>
        <w:spacing w:after="120"/>
        <w:contextualSpacing/>
        <w:jc w:val="center"/>
        <w:rPr>
          <w:b/>
        </w:rPr>
      </w:pPr>
      <w:r>
        <w:rPr>
          <w:b/>
        </w:rPr>
        <w:t xml:space="preserve">Due: </w:t>
      </w:r>
      <w:r w:rsidR="00FA6A36">
        <w:rPr>
          <w:b/>
        </w:rPr>
        <w:t>2/2/16</w:t>
      </w:r>
      <w:r w:rsidR="00AB6160">
        <w:rPr>
          <w:b/>
        </w:rPr>
        <w:t xml:space="preserve"> </w:t>
      </w:r>
    </w:p>
    <w:p w14:paraId="0E2988E1" w14:textId="6A74E711" w:rsidR="00CF0EBD" w:rsidRDefault="00CF0EBD" w:rsidP="00FA19DE">
      <w:pPr>
        <w:spacing w:after="120"/>
        <w:contextualSpacing/>
        <w:jc w:val="center"/>
        <w:rPr>
          <w:b/>
        </w:rPr>
      </w:pPr>
      <w:r>
        <w:rPr>
          <w:b/>
        </w:rPr>
        <w:t>Sarah Lisker</w:t>
      </w:r>
    </w:p>
    <w:p w14:paraId="65E6492D" w14:textId="77777777" w:rsidR="00FA19DE" w:rsidRDefault="00FA19DE" w:rsidP="00FA19DE">
      <w:pPr>
        <w:spacing w:after="120"/>
        <w:contextualSpacing/>
        <w:jc w:val="center"/>
        <w:rPr>
          <w:b/>
        </w:rPr>
      </w:pPr>
    </w:p>
    <w:p w14:paraId="4E922906" w14:textId="77777777" w:rsidR="00FA19DE" w:rsidRDefault="00FA19DE" w:rsidP="00FA19DE">
      <w:pPr>
        <w:spacing w:after="120"/>
        <w:contextualSpacing/>
        <w:rPr>
          <w:b/>
        </w:rPr>
      </w:pPr>
      <w:r>
        <w:rPr>
          <w:b/>
        </w:rPr>
        <w:t xml:space="preserve">Questions Related to Week </w:t>
      </w:r>
      <w:r w:rsidR="00FA6A36">
        <w:rPr>
          <w:b/>
        </w:rPr>
        <w:t>5</w:t>
      </w:r>
      <w:r>
        <w:rPr>
          <w:b/>
        </w:rPr>
        <w:t xml:space="preserve"> Readings:</w:t>
      </w:r>
    </w:p>
    <w:p w14:paraId="583CB7AD" w14:textId="77777777" w:rsidR="00FA19DE" w:rsidRDefault="003A4F81" w:rsidP="00FA19DE">
      <w:pPr>
        <w:pStyle w:val="ListParagraph"/>
        <w:numPr>
          <w:ilvl w:val="0"/>
          <w:numId w:val="3"/>
        </w:numPr>
        <w:spacing w:after="120"/>
      </w:pPr>
      <w:r>
        <w:t xml:space="preserve">Weaver et al propose that among rats, maternal behavior towards newborn pups influences their cortisol response to stress via epigenetic mechanisms that change the expression of glucocorticoid receptor gene for the rest of the pup’s life.  They argue that because epigenetic patterns are established at specific developmental periods, there is extreme time sensitivity to when the pup is exposed to particular maternal behaviors (licking and grooming, in this case), and maternal behavior before or after that sensitive period window is not as important.   Do you think this mechanism is relevant in humans?  If so, what behaviors are most analogous to “maternal licking and grooming”?  </w:t>
      </w:r>
    </w:p>
    <w:p w14:paraId="2C5F424A" w14:textId="36394292" w:rsidR="003A4F81" w:rsidRDefault="00E30655" w:rsidP="003A4F81">
      <w:pPr>
        <w:spacing w:after="120"/>
      </w:pPr>
      <w:r>
        <w:t xml:space="preserve">The critical periods of increased reception to epigenetic programming present in rats, as detailed by Weaver </w:t>
      </w:r>
      <w:r>
        <w:rPr>
          <w:i/>
        </w:rPr>
        <w:t>et al</w:t>
      </w:r>
      <w:r>
        <w:t xml:space="preserve">, are relevant in humans. Hertzman and Boyce explain this mechanism in humans and actually cite the Weaver study in support. Hertzman and Boyce draw a connection between the </w:t>
      </w:r>
      <w:r w:rsidR="00410092">
        <w:t>establishment</w:t>
      </w:r>
      <w:r>
        <w:t xml:space="preserve"> of epigenetic</w:t>
      </w:r>
      <w:r w:rsidR="00690C87">
        <w:t xml:space="preserve"> patterns of mice through</w:t>
      </w:r>
      <w:r>
        <w:t xml:space="preserve"> maternal behaviors such as licking and grooming and arch-backed nursing to epigenetic changes in humans resulting from the quality of early maternal-child attachment.  Quality of early maternal-child attachment can be influenced by environmental and social stressors such as low socioeconomic status, adversity, and maltre</w:t>
      </w:r>
      <w:r w:rsidR="00690C87">
        <w:t>atment in childhood</w:t>
      </w:r>
      <w:r>
        <w:t xml:space="preserve">. Therefore, one would expect behaviors that </w:t>
      </w:r>
      <w:r w:rsidR="006404E7">
        <w:t>are associated with higher SES, minimal adversity, and good treatment in childhood to be indicators of high-quality early maternal-child a</w:t>
      </w:r>
      <w:r w:rsidR="00410092">
        <w:t>ttachment. Behaviors could be</w:t>
      </w:r>
      <w:r w:rsidR="006404E7">
        <w:t xml:space="preserve"> </w:t>
      </w:r>
      <w:r w:rsidR="00A70761">
        <w:t>direct interactions with the primary caregiver, often the mother</w:t>
      </w:r>
      <w:r w:rsidR="006404E7">
        <w:t xml:space="preserve">, </w:t>
      </w:r>
      <w:r w:rsidR="00A07818">
        <w:t>such as nur</w:t>
      </w:r>
      <w:r w:rsidR="00410092">
        <w:t>sing</w:t>
      </w:r>
      <w:r w:rsidR="0026718A">
        <w:t>,(Fuller)</w:t>
      </w:r>
      <w:bookmarkStart w:id="0" w:name="_GoBack"/>
      <w:bookmarkEnd w:id="0"/>
      <w:r w:rsidR="00410092">
        <w:t xml:space="preserve"> eye-contact, </w:t>
      </w:r>
      <w:r w:rsidR="00A07818">
        <w:t>vocal exchanges</w:t>
      </w:r>
      <w:r w:rsidR="0026718A">
        <w:t>,</w:t>
      </w:r>
      <w:r w:rsidR="00A07818">
        <w:t>(Wendland-Carro)</w:t>
      </w:r>
      <w:r w:rsidR="00410092">
        <w:t xml:space="preserve"> and responding to the child. </w:t>
      </w:r>
      <w:r w:rsidR="00A07818">
        <w:t xml:space="preserve"> </w:t>
      </w:r>
      <w:r w:rsidR="00410092">
        <w:t>This mechanism can also manifest as a result of</w:t>
      </w:r>
      <w:r w:rsidR="006404E7">
        <w:t xml:space="preserve"> </w:t>
      </w:r>
      <w:r w:rsidR="00A70761">
        <w:t>environmental e</w:t>
      </w:r>
      <w:r w:rsidR="006404E7">
        <w:t xml:space="preserve">xperiences such as living in a safe and organized home, and having positive sensory experiences through access to play toys, as described by Zevalkink </w:t>
      </w:r>
      <w:r w:rsidR="006404E7">
        <w:rPr>
          <w:i/>
        </w:rPr>
        <w:t>et al</w:t>
      </w:r>
      <w:r w:rsidR="00410092">
        <w:t>.</w:t>
      </w:r>
    </w:p>
    <w:p w14:paraId="708D7A56" w14:textId="77777777" w:rsidR="003A4F81" w:rsidRDefault="003A4F81" w:rsidP="003A4F81">
      <w:pPr>
        <w:pStyle w:val="ListParagraph"/>
        <w:numPr>
          <w:ilvl w:val="0"/>
          <w:numId w:val="3"/>
        </w:numPr>
        <w:spacing w:after="120"/>
      </w:pPr>
      <w:r>
        <w:t xml:space="preserve">Gruenewald, in contrast, emphasize the </w:t>
      </w:r>
      <w:r w:rsidRPr="003A4F81">
        <w:rPr>
          <w:i/>
        </w:rPr>
        <w:t>cumulative</w:t>
      </w:r>
      <w:r>
        <w:t xml:space="preserve"> effects of SES adversity on a multi-system allostatic load measure.   Do you think that the Gruenewald findings are consistent, inconsistent, or unrelated to the Weaver findings?  Explain.  </w:t>
      </w:r>
    </w:p>
    <w:p w14:paraId="7E9B1C31" w14:textId="77777777" w:rsidR="003A4F81" w:rsidRDefault="00410092" w:rsidP="003A4F81">
      <w:pPr>
        <w:spacing w:after="120"/>
      </w:pPr>
      <w:r>
        <w:t xml:space="preserve">Gruenewald </w:t>
      </w:r>
      <w:r>
        <w:rPr>
          <w:i/>
        </w:rPr>
        <w:t>et al</w:t>
      </w:r>
      <w:r>
        <w:t xml:space="preserve"> find that </w:t>
      </w:r>
      <w:r w:rsidR="00787439">
        <w:t>higher allostatic load is a function of adversity during each stage and cumulatively throughout life course. They find that individuals with lower socioeconomic status experience more environmental, psychological, and behavioral stressors that put comparatively more demands on their biological systems, contributing to poorer health outcomes. This suggests that the so-called “wear and tear” on an individual as a result of adversity is not reversible because it is, by definition, additive. The cumula</w:t>
      </w:r>
      <w:r w:rsidR="002F7089">
        <w:t xml:space="preserve">tive risk hypothesis that they </w:t>
      </w:r>
      <w:r w:rsidR="00787439">
        <w:t xml:space="preserve">find to be valid in their study declares that, even if an individual is more affected by recent SES experience, the individual may still “bear the scars” of low SES in childhood. </w:t>
      </w:r>
      <w:r w:rsidR="002F7089">
        <w:t>This framework suggests that there isn’t necessarily a singular sensitive period of development.</w:t>
      </w:r>
    </w:p>
    <w:p w14:paraId="1F9573D2" w14:textId="77777777" w:rsidR="00787439" w:rsidRPr="00787439" w:rsidRDefault="00787439" w:rsidP="003A4F81">
      <w:pPr>
        <w:spacing w:after="120"/>
      </w:pPr>
      <w:r>
        <w:t xml:space="preserve">Weaver </w:t>
      </w:r>
      <w:r>
        <w:rPr>
          <w:i/>
        </w:rPr>
        <w:t>et al</w:t>
      </w:r>
      <w:r>
        <w:t xml:space="preserve"> </w:t>
      </w:r>
      <w:r w:rsidR="0031459B">
        <w:t>supports that there is</w:t>
      </w:r>
      <w:r w:rsidR="002F7089">
        <w:t xml:space="preserve"> a critical period or window of development in early childhood</w:t>
      </w:r>
      <w:r w:rsidR="002A69FA">
        <w:t xml:space="preserve">. </w:t>
      </w:r>
      <w:r w:rsidR="002F7089">
        <w:t xml:space="preserve">While the outcomes are similar, the critical period framework differs from Gruenewald’s cumulative risk </w:t>
      </w:r>
      <w:r w:rsidR="002F7089">
        <w:lastRenderedPageBreak/>
        <w:t xml:space="preserve">framework in that they found the rats to be susceptible to changes that regulate gene expression during a much smaller window of sensitivity than the </w:t>
      </w:r>
      <w:r w:rsidR="002A69FA">
        <w:t>cumulative experience of an individual. Therefore, the Weaver and Gruenewald findings are related and in many ways consistent, however they are viewed through different lenses.</w:t>
      </w:r>
    </w:p>
    <w:p w14:paraId="4389080B" w14:textId="77777777" w:rsidR="003A4F81" w:rsidRPr="00FA19DE" w:rsidRDefault="003A4F81" w:rsidP="003A4F81">
      <w:pPr>
        <w:pStyle w:val="ListParagraph"/>
        <w:numPr>
          <w:ilvl w:val="0"/>
          <w:numId w:val="3"/>
        </w:numPr>
        <w:spacing w:after="120"/>
      </w:pPr>
      <w:r>
        <w:t>Hertzmann and Boyce argue that “it is not genes or environment, nor is it genes and environment, but rather it is gene-by-environment interactions that influence developmental trajectories.”  To what extent do you think that GxE interactions can contribute to major disparities along racial/ethnic, socioeconomic, or geographic dimensions?</w:t>
      </w:r>
    </w:p>
    <w:p w14:paraId="7B067625" w14:textId="091EC30C" w:rsidR="00FA19DE" w:rsidRDefault="002A69FA" w:rsidP="00FA19DE">
      <w:r>
        <w:t xml:space="preserve">Gene-by-environment interactions influence developmental trajectories through a number of different mechanisms, as argued by Hertzmann and Boyce. </w:t>
      </w:r>
      <w:r w:rsidR="0096391A">
        <w:t xml:space="preserve">They cite the Dunedin birth cohort study as an example. The study found that </w:t>
      </w:r>
      <w:r w:rsidR="00035024">
        <w:t xml:space="preserve">males </w:t>
      </w:r>
      <w:r w:rsidR="0096391A">
        <w:t>with a low activity in a genetic polymorphism that is connected with a high likelihood of supporting the aggression pathways and who had experienced</w:t>
      </w:r>
      <w:r w:rsidR="00035024">
        <w:t xml:space="preserve"> extreme childhood mistreatment where more likely to exhibit antisocial behaviors. This result appropriately captures GxE interactions because a specific genotype can result in “systematically different human characteristics, depending on the individual’s environment.” These interactions can contribute to major disparities along racial/ ethnic, socioeconomic, or geographic dimensions. For example, individuals with a genetic predisposition for diabetes, with low SES and with little access to nutritious foods, nutrition education, or high-quality care, will be facing the disease with fewer resources</w:t>
      </w:r>
      <w:r w:rsidR="00690C87">
        <w:t xml:space="preserve"> and likely more stressors</w:t>
      </w:r>
      <w:r w:rsidR="00035024">
        <w:t xml:space="preserve"> than an individual with the same genetic predisposition but with higher SES and improved access to better food, care, and education. </w:t>
      </w:r>
      <w:r w:rsidR="00690C87">
        <w:t>As another example, a</w:t>
      </w:r>
      <w:r w:rsidR="00035024">
        <w:t>sthma, which could be hereditary, is experienced in higher rates among children in ethnic minorities as well as in households with low SES. Dimensions such as access to care, air quality, exposure to smoke, and other environmental stressors coul</w:t>
      </w:r>
      <w:r w:rsidR="00690C87">
        <w:t>d contribute to this disparity.(Forno)</w:t>
      </w:r>
    </w:p>
    <w:p w14:paraId="093523D5" w14:textId="77777777" w:rsidR="0026718A" w:rsidRDefault="0026718A" w:rsidP="00FA19DE"/>
    <w:p w14:paraId="42C40AB1" w14:textId="77777777" w:rsidR="0026718A" w:rsidRDefault="0026718A" w:rsidP="00FA19DE"/>
    <w:p w14:paraId="75DB0103" w14:textId="77777777" w:rsidR="0026718A" w:rsidRDefault="0026718A" w:rsidP="00FA19DE"/>
    <w:p w14:paraId="59DA8072" w14:textId="77777777" w:rsidR="0026718A" w:rsidRDefault="0026718A" w:rsidP="0026718A">
      <w:pPr>
        <w:spacing w:after="120"/>
      </w:pPr>
      <w:r>
        <w:t xml:space="preserve">Forno E, Celedon JC. Asthma and ethnic minorities: socioeconomic status and beyond. </w:t>
      </w:r>
      <w:r w:rsidRPr="00690C87">
        <w:t>Curr Opin Allergy Clin Immunol. 2009 Apr;9(2):154-60</w:t>
      </w:r>
    </w:p>
    <w:p w14:paraId="0215AD06" w14:textId="2E7E6A62" w:rsidR="0026718A" w:rsidRDefault="0026718A" w:rsidP="0026718A">
      <w:pPr>
        <w:spacing w:after="120"/>
      </w:pPr>
      <w:r>
        <w:t xml:space="preserve">Fuller JR. Early patterns of maternal attachment. </w:t>
      </w:r>
      <w:hyperlink r:id="rId6" w:tooltip="Health care for women international." w:history="1">
        <w:r w:rsidRPr="00A07818">
          <w:rPr>
            <w:rStyle w:val="Hyperlink"/>
          </w:rPr>
          <w:t>Health Care Women Int.</w:t>
        </w:r>
      </w:hyperlink>
      <w:r w:rsidRPr="00A07818">
        <w:t> 1990;11(4):433-46.</w:t>
      </w:r>
    </w:p>
    <w:p w14:paraId="149B67B8" w14:textId="77777777" w:rsidR="0026718A" w:rsidRDefault="0026718A" w:rsidP="0026718A">
      <w:pPr>
        <w:spacing w:after="120"/>
      </w:pPr>
      <w:r>
        <w:t xml:space="preserve">Wendland-Carro J, Piccinini CA, Millar WS. The role of an early intervention on enhancing the quality of mother-infant interaction. </w:t>
      </w:r>
      <w:hyperlink r:id="rId7" w:tooltip="Child development." w:history="1">
        <w:r w:rsidRPr="00410092">
          <w:rPr>
            <w:rStyle w:val="Hyperlink"/>
          </w:rPr>
          <w:t>Child Dev.</w:t>
        </w:r>
      </w:hyperlink>
      <w:r w:rsidRPr="00410092">
        <w:t> 1999 May-Jun;70(3):713-21.</w:t>
      </w:r>
    </w:p>
    <w:p w14:paraId="28E6BB97" w14:textId="77777777" w:rsidR="0026718A" w:rsidRDefault="0026718A" w:rsidP="0026718A">
      <w:pPr>
        <w:spacing w:after="120"/>
      </w:pPr>
      <w:r>
        <w:t xml:space="preserve">Zevalkink J, Riksen Walraven JM, Bradley RH. The quality of children’s home environment and attachment security in Indonesia. </w:t>
      </w:r>
      <w:hyperlink r:id="rId8" w:tooltip="The Journal of genetic psychology." w:history="1">
        <w:r w:rsidRPr="006404E7">
          <w:rPr>
            <w:rStyle w:val="Hyperlink"/>
          </w:rPr>
          <w:t>J Genet Psychol.</w:t>
        </w:r>
      </w:hyperlink>
      <w:r w:rsidRPr="006404E7">
        <w:t> 2008 Mar;169(1):72-91. doi: 10.3200/GNTP.169.1.72-91.</w:t>
      </w:r>
    </w:p>
    <w:p w14:paraId="2A1EFE7C" w14:textId="77777777" w:rsidR="0026718A" w:rsidRDefault="0026718A" w:rsidP="00FA19DE"/>
    <w:p w14:paraId="3495654C" w14:textId="312E7393" w:rsidR="00035024" w:rsidRPr="00DB5328" w:rsidRDefault="00690C87" w:rsidP="00FA19DE">
      <w:r w:rsidRPr="00690C87">
        <w:t>.</w:t>
      </w:r>
    </w:p>
    <w:sectPr w:rsidR="00035024" w:rsidRPr="00DB5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D7EC6"/>
    <w:multiLevelType w:val="hybridMultilevel"/>
    <w:tmpl w:val="B83EB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130D79"/>
    <w:multiLevelType w:val="hybridMultilevel"/>
    <w:tmpl w:val="12220A68"/>
    <w:lvl w:ilvl="0" w:tplc="92EE3874">
      <w:start w:val="1"/>
      <w:numFmt w:val="bullet"/>
      <w:lvlText w:val="•"/>
      <w:lvlJc w:val="left"/>
      <w:pPr>
        <w:tabs>
          <w:tab w:val="num" w:pos="720"/>
        </w:tabs>
        <w:ind w:left="720" w:hanging="360"/>
      </w:pPr>
      <w:rPr>
        <w:rFonts w:ascii="Arial" w:hAnsi="Arial" w:hint="default"/>
      </w:rPr>
    </w:lvl>
    <w:lvl w:ilvl="1" w:tplc="4202AADE">
      <w:start w:val="695"/>
      <w:numFmt w:val="bullet"/>
      <w:lvlText w:val="–"/>
      <w:lvlJc w:val="left"/>
      <w:pPr>
        <w:tabs>
          <w:tab w:val="num" w:pos="1440"/>
        </w:tabs>
        <w:ind w:left="1440" w:hanging="360"/>
      </w:pPr>
      <w:rPr>
        <w:rFonts w:ascii="Arial" w:hAnsi="Arial" w:hint="default"/>
      </w:rPr>
    </w:lvl>
    <w:lvl w:ilvl="2" w:tplc="847C2F0E" w:tentative="1">
      <w:start w:val="1"/>
      <w:numFmt w:val="bullet"/>
      <w:lvlText w:val="•"/>
      <w:lvlJc w:val="left"/>
      <w:pPr>
        <w:tabs>
          <w:tab w:val="num" w:pos="2160"/>
        </w:tabs>
        <w:ind w:left="2160" w:hanging="360"/>
      </w:pPr>
      <w:rPr>
        <w:rFonts w:ascii="Arial" w:hAnsi="Arial" w:hint="default"/>
      </w:rPr>
    </w:lvl>
    <w:lvl w:ilvl="3" w:tplc="7F72D210" w:tentative="1">
      <w:start w:val="1"/>
      <w:numFmt w:val="bullet"/>
      <w:lvlText w:val="•"/>
      <w:lvlJc w:val="left"/>
      <w:pPr>
        <w:tabs>
          <w:tab w:val="num" w:pos="2880"/>
        </w:tabs>
        <w:ind w:left="2880" w:hanging="360"/>
      </w:pPr>
      <w:rPr>
        <w:rFonts w:ascii="Arial" w:hAnsi="Arial" w:hint="default"/>
      </w:rPr>
    </w:lvl>
    <w:lvl w:ilvl="4" w:tplc="642ED972" w:tentative="1">
      <w:start w:val="1"/>
      <w:numFmt w:val="bullet"/>
      <w:lvlText w:val="•"/>
      <w:lvlJc w:val="left"/>
      <w:pPr>
        <w:tabs>
          <w:tab w:val="num" w:pos="3600"/>
        </w:tabs>
        <w:ind w:left="3600" w:hanging="360"/>
      </w:pPr>
      <w:rPr>
        <w:rFonts w:ascii="Arial" w:hAnsi="Arial" w:hint="default"/>
      </w:rPr>
    </w:lvl>
    <w:lvl w:ilvl="5" w:tplc="97A29718" w:tentative="1">
      <w:start w:val="1"/>
      <w:numFmt w:val="bullet"/>
      <w:lvlText w:val="•"/>
      <w:lvlJc w:val="left"/>
      <w:pPr>
        <w:tabs>
          <w:tab w:val="num" w:pos="4320"/>
        </w:tabs>
        <w:ind w:left="4320" w:hanging="360"/>
      </w:pPr>
      <w:rPr>
        <w:rFonts w:ascii="Arial" w:hAnsi="Arial" w:hint="default"/>
      </w:rPr>
    </w:lvl>
    <w:lvl w:ilvl="6" w:tplc="220682EA" w:tentative="1">
      <w:start w:val="1"/>
      <w:numFmt w:val="bullet"/>
      <w:lvlText w:val="•"/>
      <w:lvlJc w:val="left"/>
      <w:pPr>
        <w:tabs>
          <w:tab w:val="num" w:pos="5040"/>
        </w:tabs>
        <w:ind w:left="5040" w:hanging="360"/>
      </w:pPr>
      <w:rPr>
        <w:rFonts w:ascii="Arial" w:hAnsi="Arial" w:hint="default"/>
      </w:rPr>
    </w:lvl>
    <w:lvl w:ilvl="7" w:tplc="AA82D2FE" w:tentative="1">
      <w:start w:val="1"/>
      <w:numFmt w:val="bullet"/>
      <w:lvlText w:val="•"/>
      <w:lvlJc w:val="left"/>
      <w:pPr>
        <w:tabs>
          <w:tab w:val="num" w:pos="5760"/>
        </w:tabs>
        <w:ind w:left="5760" w:hanging="360"/>
      </w:pPr>
      <w:rPr>
        <w:rFonts w:ascii="Arial" w:hAnsi="Arial" w:hint="default"/>
      </w:rPr>
    </w:lvl>
    <w:lvl w:ilvl="8" w:tplc="064266A2" w:tentative="1">
      <w:start w:val="1"/>
      <w:numFmt w:val="bullet"/>
      <w:lvlText w:val="•"/>
      <w:lvlJc w:val="left"/>
      <w:pPr>
        <w:tabs>
          <w:tab w:val="num" w:pos="6480"/>
        </w:tabs>
        <w:ind w:left="6480" w:hanging="360"/>
      </w:pPr>
      <w:rPr>
        <w:rFonts w:ascii="Arial" w:hAnsi="Arial" w:hint="default"/>
      </w:rPr>
    </w:lvl>
  </w:abstractNum>
  <w:abstractNum w:abstractNumId="2">
    <w:nsid w:val="496D0DA4"/>
    <w:multiLevelType w:val="hybridMultilevel"/>
    <w:tmpl w:val="B85AF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28"/>
    <w:rsid w:val="00035024"/>
    <w:rsid w:val="0024315F"/>
    <w:rsid w:val="0026718A"/>
    <w:rsid w:val="002A69FA"/>
    <w:rsid w:val="002F7089"/>
    <w:rsid w:val="0031459B"/>
    <w:rsid w:val="00380C4F"/>
    <w:rsid w:val="003A4F81"/>
    <w:rsid w:val="00410092"/>
    <w:rsid w:val="006404E7"/>
    <w:rsid w:val="00690C87"/>
    <w:rsid w:val="007421DE"/>
    <w:rsid w:val="00787439"/>
    <w:rsid w:val="0085113A"/>
    <w:rsid w:val="0096391A"/>
    <w:rsid w:val="00A07818"/>
    <w:rsid w:val="00A70761"/>
    <w:rsid w:val="00AB6160"/>
    <w:rsid w:val="00CC1C3B"/>
    <w:rsid w:val="00CF0EBD"/>
    <w:rsid w:val="00D143BB"/>
    <w:rsid w:val="00DB44C3"/>
    <w:rsid w:val="00DB5328"/>
    <w:rsid w:val="00E30655"/>
    <w:rsid w:val="00EA2852"/>
    <w:rsid w:val="00FA19DE"/>
    <w:rsid w:val="00FA6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B8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 w:type="character" w:styleId="Hyperlink">
    <w:name w:val="Hyperlink"/>
    <w:basedOn w:val="DefaultParagraphFont"/>
    <w:uiPriority w:val="99"/>
    <w:unhideWhenUsed/>
    <w:rsid w:val="006404E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 w:type="character" w:styleId="Hyperlink">
    <w:name w:val="Hyperlink"/>
    <w:basedOn w:val="DefaultParagraphFont"/>
    <w:uiPriority w:val="99"/>
    <w:unhideWhenUsed/>
    <w:rsid w:val="006404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7165">
      <w:bodyDiv w:val="1"/>
      <w:marLeft w:val="0"/>
      <w:marRight w:val="0"/>
      <w:marTop w:val="0"/>
      <w:marBottom w:val="0"/>
      <w:divBdr>
        <w:top w:val="none" w:sz="0" w:space="0" w:color="auto"/>
        <w:left w:val="none" w:sz="0" w:space="0" w:color="auto"/>
        <w:bottom w:val="none" w:sz="0" w:space="0" w:color="auto"/>
        <w:right w:val="none" w:sz="0" w:space="0" w:color="auto"/>
      </w:divBdr>
    </w:div>
    <w:div w:id="384331235">
      <w:bodyDiv w:val="1"/>
      <w:marLeft w:val="0"/>
      <w:marRight w:val="0"/>
      <w:marTop w:val="0"/>
      <w:marBottom w:val="0"/>
      <w:divBdr>
        <w:top w:val="none" w:sz="0" w:space="0" w:color="auto"/>
        <w:left w:val="none" w:sz="0" w:space="0" w:color="auto"/>
        <w:bottom w:val="none" w:sz="0" w:space="0" w:color="auto"/>
        <w:right w:val="none" w:sz="0" w:space="0" w:color="auto"/>
      </w:divBdr>
    </w:div>
    <w:div w:id="477847943">
      <w:bodyDiv w:val="1"/>
      <w:marLeft w:val="0"/>
      <w:marRight w:val="0"/>
      <w:marTop w:val="0"/>
      <w:marBottom w:val="0"/>
      <w:divBdr>
        <w:top w:val="none" w:sz="0" w:space="0" w:color="auto"/>
        <w:left w:val="none" w:sz="0" w:space="0" w:color="auto"/>
        <w:bottom w:val="none" w:sz="0" w:space="0" w:color="auto"/>
        <w:right w:val="none" w:sz="0" w:space="0" w:color="auto"/>
      </w:divBdr>
    </w:div>
    <w:div w:id="492456717">
      <w:bodyDiv w:val="1"/>
      <w:marLeft w:val="0"/>
      <w:marRight w:val="0"/>
      <w:marTop w:val="0"/>
      <w:marBottom w:val="0"/>
      <w:divBdr>
        <w:top w:val="none" w:sz="0" w:space="0" w:color="auto"/>
        <w:left w:val="none" w:sz="0" w:space="0" w:color="auto"/>
        <w:bottom w:val="none" w:sz="0" w:space="0" w:color="auto"/>
        <w:right w:val="none" w:sz="0" w:space="0" w:color="auto"/>
      </w:divBdr>
    </w:div>
    <w:div w:id="618798710">
      <w:bodyDiv w:val="1"/>
      <w:marLeft w:val="0"/>
      <w:marRight w:val="0"/>
      <w:marTop w:val="0"/>
      <w:marBottom w:val="0"/>
      <w:divBdr>
        <w:top w:val="none" w:sz="0" w:space="0" w:color="auto"/>
        <w:left w:val="none" w:sz="0" w:space="0" w:color="auto"/>
        <w:bottom w:val="none" w:sz="0" w:space="0" w:color="auto"/>
        <w:right w:val="none" w:sz="0" w:space="0" w:color="auto"/>
      </w:divBdr>
    </w:div>
    <w:div w:id="917635985">
      <w:bodyDiv w:val="1"/>
      <w:marLeft w:val="0"/>
      <w:marRight w:val="0"/>
      <w:marTop w:val="0"/>
      <w:marBottom w:val="0"/>
      <w:divBdr>
        <w:top w:val="none" w:sz="0" w:space="0" w:color="auto"/>
        <w:left w:val="none" w:sz="0" w:space="0" w:color="auto"/>
        <w:bottom w:val="none" w:sz="0" w:space="0" w:color="auto"/>
        <w:right w:val="none" w:sz="0" w:space="0" w:color="auto"/>
      </w:divBdr>
    </w:div>
    <w:div w:id="965892205">
      <w:bodyDiv w:val="1"/>
      <w:marLeft w:val="0"/>
      <w:marRight w:val="0"/>
      <w:marTop w:val="0"/>
      <w:marBottom w:val="0"/>
      <w:divBdr>
        <w:top w:val="none" w:sz="0" w:space="0" w:color="auto"/>
        <w:left w:val="none" w:sz="0" w:space="0" w:color="auto"/>
        <w:bottom w:val="none" w:sz="0" w:space="0" w:color="auto"/>
        <w:right w:val="none" w:sz="0" w:space="0" w:color="auto"/>
      </w:divBdr>
      <w:divsChild>
        <w:div w:id="1322462677">
          <w:marLeft w:val="547"/>
          <w:marRight w:val="0"/>
          <w:marTop w:val="154"/>
          <w:marBottom w:val="0"/>
          <w:divBdr>
            <w:top w:val="none" w:sz="0" w:space="0" w:color="auto"/>
            <w:left w:val="none" w:sz="0" w:space="0" w:color="auto"/>
            <w:bottom w:val="none" w:sz="0" w:space="0" w:color="auto"/>
            <w:right w:val="none" w:sz="0" w:space="0" w:color="auto"/>
          </w:divBdr>
        </w:div>
        <w:div w:id="323899999">
          <w:marLeft w:val="547"/>
          <w:marRight w:val="0"/>
          <w:marTop w:val="154"/>
          <w:marBottom w:val="0"/>
          <w:divBdr>
            <w:top w:val="none" w:sz="0" w:space="0" w:color="auto"/>
            <w:left w:val="none" w:sz="0" w:space="0" w:color="auto"/>
            <w:bottom w:val="none" w:sz="0" w:space="0" w:color="auto"/>
            <w:right w:val="none" w:sz="0" w:space="0" w:color="auto"/>
          </w:divBdr>
        </w:div>
        <w:div w:id="1242134445">
          <w:marLeft w:val="547"/>
          <w:marRight w:val="0"/>
          <w:marTop w:val="154"/>
          <w:marBottom w:val="0"/>
          <w:divBdr>
            <w:top w:val="none" w:sz="0" w:space="0" w:color="auto"/>
            <w:left w:val="none" w:sz="0" w:space="0" w:color="auto"/>
            <w:bottom w:val="none" w:sz="0" w:space="0" w:color="auto"/>
            <w:right w:val="none" w:sz="0" w:space="0" w:color="auto"/>
          </w:divBdr>
        </w:div>
        <w:div w:id="1636788908">
          <w:marLeft w:val="547"/>
          <w:marRight w:val="0"/>
          <w:marTop w:val="154"/>
          <w:marBottom w:val="0"/>
          <w:divBdr>
            <w:top w:val="none" w:sz="0" w:space="0" w:color="auto"/>
            <w:left w:val="none" w:sz="0" w:space="0" w:color="auto"/>
            <w:bottom w:val="none" w:sz="0" w:space="0" w:color="auto"/>
            <w:right w:val="none" w:sz="0" w:space="0" w:color="auto"/>
          </w:divBdr>
        </w:div>
        <w:div w:id="922567946">
          <w:marLeft w:val="1166"/>
          <w:marRight w:val="0"/>
          <w:marTop w:val="134"/>
          <w:marBottom w:val="0"/>
          <w:divBdr>
            <w:top w:val="none" w:sz="0" w:space="0" w:color="auto"/>
            <w:left w:val="none" w:sz="0" w:space="0" w:color="auto"/>
            <w:bottom w:val="none" w:sz="0" w:space="0" w:color="auto"/>
            <w:right w:val="none" w:sz="0" w:space="0" w:color="auto"/>
          </w:divBdr>
        </w:div>
        <w:div w:id="424499651">
          <w:marLeft w:val="1166"/>
          <w:marRight w:val="0"/>
          <w:marTop w:val="134"/>
          <w:marBottom w:val="0"/>
          <w:divBdr>
            <w:top w:val="none" w:sz="0" w:space="0" w:color="auto"/>
            <w:left w:val="none" w:sz="0" w:space="0" w:color="auto"/>
            <w:bottom w:val="none" w:sz="0" w:space="0" w:color="auto"/>
            <w:right w:val="none" w:sz="0" w:space="0" w:color="auto"/>
          </w:divBdr>
        </w:div>
      </w:divsChild>
    </w:div>
    <w:div w:id="12671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cbi.nlm.nih.gov/pubmed/2228815" TargetMode="External"/><Relationship Id="rId7" Type="http://schemas.openxmlformats.org/officeDocument/2006/relationships/hyperlink" Target="http://www.ncbi.nlm.nih.gov/pubmed/10368917" TargetMode="External"/><Relationship Id="rId8" Type="http://schemas.openxmlformats.org/officeDocument/2006/relationships/hyperlink" Target="http://www.ncbi.nlm.nih.gov/pubmed/?term=indicator+%22early+childhood%22+attachmen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965</Words>
  <Characters>5501</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Dehlendorf, Christine</dc:creator>
  <cp:lastModifiedBy>Sarah Lisker</cp:lastModifiedBy>
  <cp:revision>4</cp:revision>
  <dcterms:created xsi:type="dcterms:W3CDTF">2016-02-03T06:36:00Z</dcterms:created>
  <dcterms:modified xsi:type="dcterms:W3CDTF">2016-02-03T06:38:00Z</dcterms:modified>
</cp:coreProperties>
</file>