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7C" w:rsidRPr="006C7C79" w:rsidRDefault="00A24261" w:rsidP="001929BD">
      <w:pPr>
        <w:spacing w:after="0" w:line="240" w:lineRule="auto"/>
        <w:rPr>
          <w:rFonts w:ascii="Arial" w:eastAsia="Times New Roman" w:hAnsi="Arial" w:cs="Arial"/>
        </w:rPr>
      </w:pPr>
      <w:r w:rsidRPr="006C7C79">
        <w:rPr>
          <w:rFonts w:ascii="Arial" w:eastAsia="Times New Roman" w:hAnsi="Arial" w:cs="Arial"/>
        </w:rPr>
        <w:t>Identify a policy that is not usually intended to be a health policy but that you think may have</w:t>
      </w:r>
      <w:r w:rsidR="001929BD" w:rsidRPr="006C7C79">
        <w:rPr>
          <w:rFonts w:ascii="Arial" w:eastAsia="Times New Roman" w:hAnsi="Arial" w:cs="Arial"/>
        </w:rPr>
        <w:t xml:space="preserve"> important health implications.</w:t>
      </w:r>
    </w:p>
    <w:p w:rsidR="006C7C79" w:rsidRPr="006C7C79" w:rsidRDefault="006C7C79" w:rsidP="001929BD">
      <w:pPr>
        <w:spacing w:after="0" w:line="240" w:lineRule="auto"/>
        <w:rPr>
          <w:rFonts w:ascii="Arial" w:eastAsia="Times New Roman" w:hAnsi="Arial" w:cs="Arial"/>
        </w:rPr>
      </w:pPr>
    </w:p>
    <w:p w:rsidR="006C7C79" w:rsidRDefault="00A24261">
      <w:pPr>
        <w:rPr>
          <w:rFonts w:ascii="Arial" w:hAnsi="Arial" w:cs="Arial"/>
        </w:rPr>
      </w:pPr>
      <w:r w:rsidRPr="006C7C79">
        <w:rPr>
          <w:rFonts w:ascii="Arial" w:hAnsi="Arial" w:cs="Arial"/>
        </w:rPr>
        <w:t xml:space="preserve">As </w:t>
      </w:r>
      <w:proofErr w:type="spellStart"/>
      <w:r w:rsidRPr="006C7C79">
        <w:rPr>
          <w:rFonts w:ascii="Arial" w:hAnsi="Arial" w:cs="Arial"/>
        </w:rPr>
        <w:t>Osypuk</w:t>
      </w:r>
      <w:proofErr w:type="spellEnd"/>
      <w:r w:rsidRPr="006C7C79">
        <w:rPr>
          <w:rFonts w:ascii="Arial" w:hAnsi="Arial" w:cs="Arial"/>
        </w:rPr>
        <w:t xml:space="preserve"> </w:t>
      </w:r>
      <w:r w:rsidRPr="006C7C79">
        <w:rPr>
          <w:rFonts w:ascii="Arial" w:hAnsi="Arial" w:cs="Arial"/>
          <w:i/>
        </w:rPr>
        <w:t>et al</w:t>
      </w:r>
      <w:r w:rsidRPr="006C7C79">
        <w:rPr>
          <w:rFonts w:ascii="Arial" w:hAnsi="Arial" w:cs="Arial"/>
        </w:rPr>
        <w:t xml:space="preserve"> argue, social and economic policies infrequently focus on health as a primary outcome despite the influence of such policies on health.</w:t>
      </w:r>
      <w:r w:rsidRPr="006C7C79">
        <w:rPr>
          <w:rFonts w:ascii="Arial" w:hAnsi="Arial" w:cs="Arial"/>
        </w:rPr>
        <w:fldChar w:fldCharType="begin"/>
      </w:r>
      <w:r w:rsidRPr="006C7C79">
        <w:rPr>
          <w:rFonts w:ascii="Arial" w:hAnsi="Arial" w:cs="Arial"/>
        </w:rPr>
        <w:instrText xml:space="preserve"> ADDIN EN.CITE &lt;EndNote&gt;&lt;Cite&gt;&lt;Author&gt;Osypuk&lt;/Author&gt;&lt;Year&gt;2014&lt;/Year&gt;&lt;RecNum&gt;52&lt;/RecNum&gt;&lt;DisplayText&gt;(1)&lt;/DisplayText&gt;&lt;record&gt;&lt;rec-number&gt;52&lt;/rec-number&gt;&lt;foreign-keys&gt;&lt;key app="EN" db-id="e2twe2w9sezpt7eaefsx5zx49zw5sarfswtf"&gt;52&lt;/key&gt;&lt;/foreign-keys&gt;&lt;ref-type name="Journal Article"&gt;17&lt;/ref-type&gt;&lt;contributors&gt;&lt;authors&gt;&lt;author&gt;Osypuk, T. L.&lt;/author&gt;&lt;author&gt;Joshi, P.&lt;/author&gt;&lt;author&gt;Geronimo, K.&lt;/author&gt;&lt;author&gt;Acevedo-Garcia, D.&lt;/author&gt;&lt;/authors&gt;&lt;/contributors&gt;&lt;auth-address&gt;University of Minnesota School of Public Health, Division of Epidemiology and Community Health, 1300 Second Street South, Minneapolis, MN 55454 (p) 612-625-8279 (f) 612-624-0315 (e) tosypuk@umn.edu.&amp;#xD;Brandeis University, Institute for Children, Youth and Family Policy, 415 South Street, MS035, Waltham, MA 02453 (p) 781-736-3912 (f) 781-736-3773 pamjoshi@brandeis.edu.&amp;#xD;Brandeis University, Institute for Children, Youth and Family Policy, 415 South Street, MS035, Waltham, MA 02453 (p) 781-736-3837 (f)781-736-3905 kgeronim@brandeis.edu.&amp;#xD;Brandeis University, Institute for Children, Youth and Family Policy, 415 South Street, MS035, Waltham, MA 02453 (p) 781-736-3715 (f) 781-736-3773 dacevedo@brandeis.edu.&lt;/auth-address&gt;&lt;titles&gt;&lt;title&gt;Do Social and Economic Policies Influence Health? A Review&lt;/title&gt;&lt;secondary-title&gt;Curr Epidemiol Rep&lt;/secondary-title&gt;&lt;/titles&gt;&lt;periodical&gt;&lt;full-title&gt;Curr Epidemiol Rep&lt;/full-title&gt;&lt;/periodical&gt;&lt;pages&gt;149-164&lt;/pages&gt;&lt;volume&gt;1&lt;/volume&gt;&lt;number&gt;3&lt;/number&gt;&lt;edition&gt;2015/05/20&lt;/edition&gt;&lt;dates&gt;&lt;year&gt;2014&lt;/year&gt;&lt;pub-dates&gt;&lt;date&gt;Sep 1&lt;/date&gt;&lt;/pub-dates&gt;&lt;/dates&gt;&lt;isbn&gt;2196-2995 (Print)&lt;/isbn&gt;&lt;accession-num&gt;25984439&lt;/accession-num&gt;&lt;urls&gt;&lt;/urls&gt;&lt;custom2&gt;4429302&lt;/custom2&gt;&lt;electronic-resource-num&gt;10.1007/s40471-014-0013-5&lt;/electronic-resource-num&gt;&lt;remote-database-provider&gt;NLM&lt;/remote-database-provider&gt;&lt;language&gt;Eng&lt;/language&gt;&lt;/record&gt;&lt;/Cite&gt;&lt;/EndNote&gt;</w:instrText>
      </w:r>
      <w:r w:rsidRPr="006C7C79">
        <w:rPr>
          <w:rFonts w:ascii="Arial" w:hAnsi="Arial" w:cs="Arial"/>
        </w:rPr>
        <w:fldChar w:fldCharType="separate"/>
      </w:r>
      <w:r w:rsidRPr="006C7C79">
        <w:rPr>
          <w:rFonts w:ascii="Arial" w:hAnsi="Arial" w:cs="Arial"/>
          <w:noProof/>
        </w:rPr>
        <w:t>(</w:t>
      </w:r>
      <w:hyperlink w:anchor="_ENREF_1" w:tooltip="Osypuk, 2014 #52" w:history="1">
        <w:r w:rsidR="00CA4B35" w:rsidRPr="006C7C79">
          <w:rPr>
            <w:rFonts w:ascii="Arial" w:hAnsi="Arial" w:cs="Arial"/>
            <w:noProof/>
          </w:rPr>
          <w:t>1</w:t>
        </w:r>
      </w:hyperlink>
      <w:r w:rsidRPr="006C7C79">
        <w:rPr>
          <w:rFonts w:ascii="Arial" w:hAnsi="Arial" w:cs="Arial"/>
          <w:noProof/>
        </w:rPr>
        <w:t>)</w:t>
      </w:r>
      <w:r w:rsidRPr="006C7C79">
        <w:rPr>
          <w:rFonts w:ascii="Arial" w:hAnsi="Arial" w:cs="Arial"/>
        </w:rPr>
        <w:fldChar w:fldCharType="end"/>
      </w:r>
      <w:r w:rsidRPr="006C7C79">
        <w:rPr>
          <w:rFonts w:ascii="Arial" w:hAnsi="Arial" w:cs="Arial"/>
        </w:rPr>
        <w:t xml:space="preserve"> </w:t>
      </w:r>
      <w:r w:rsidR="006C7C79">
        <w:rPr>
          <w:rFonts w:ascii="Arial" w:hAnsi="Arial" w:cs="Arial"/>
        </w:rPr>
        <w:t>As we have learned throughout the course, and as the authors argue</w:t>
      </w:r>
      <w:r w:rsidRPr="006C7C79">
        <w:rPr>
          <w:rFonts w:ascii="Arial" w:hAnsi="Arial" w:cs="Arial"/>
        </w:rPr>
        <w:t>, social and economic factors can have a direct impact on health</w:t>
      </w:r>
      <w:r w:rsidR="006C7C79">
        <w:rPr>
          <w:rFonts w:ascii="Arial" w:hAnsi="Arial" w:cs="Arial"/>
        </w:rPr>
        <w:t xml:space="preserve"> and the extent of their interplay should be investigated in all policy development</w:t>
      </w:r>
      <w:r w:rsidRPr="006C7C79">
        <w:rPr>
          <w:rFonts w:ascii="Arial" w:hAnsi="Arial" w:cs="Arial"/>
        </w:rPr>
        <w:t>. A topical example was the economic decision made by the Flint, Michigan government to begin sou</w:t>
      </w:r>
      <w:r w:rsidR="006C7C79">
        <w:rPr>
          <w:rFonts w:ascii="Arial" w:hAnsi="Arial" w:cs="Arial"/>
        </w:rPr>
        <w:t>rcing the city’s water from</w:t>
      </w:r>
      <w:r w:rsidRPr="006C7C79">
        <w:rPr>
          <w:rFonts w:ascii="Arial" w:hAnsi="Arial" w:cs="Arial"/>
        </w:rPr>
        <w:t xml:space="preserve"> the Flint River, which has had massive health implications to the city and surrounding area’s residents due to lead </w:t>
      </w:r>
      <w:r w:rsidR="00D91552" w:rsidRPr="006C7C79">
        <w:rPr>
          <w:rFonts w:ascii="Arial" w:hAnsi="Arial" w:cs="Arial"/>
        </w:rPr>
        <w:t>poisoning. It is believed that Michigan’s governor and appointed managers decided to</w:t>
      </w:r>
      <w:r w:rsidRPr="006C7C79">
        <w:rPr>
          <w:rFonts w:ascii="Arial" w:hAnsi="Arial" w:cs="Arial"/>
        </w:rPr>
        <w:t xml:space="preserve"> switch the source of </w:t>
      </w:r>
      <w:r w:rsidR="00D91552" w:rsidRPr="006C7C79">
        <w:rPr>
          <w:rFonts w:ascii="Arial" w:hAnsi="Arial" w:cs="Arial"/>
        </w:rPr>
        <w:t>Flint’s water from Detroit’s water system to the loc</w:t>
      </w:r>
      <w:r w:rsidR="006C7C79">
        <w:rPr>
          <w:rFonts w:ascii="Arial" w:hAnsi="Arial" w:cs="Arial"/>
        </w:rPr>
        <w:t>al river in order to save money</w:t>
      </w:r>
      <w:r w:rsidR="00D91552" w:rsidRPr="006C7C79">
        <w:rPr>
          <w:rFonts w:ascii="Arial" w:hAnsi="Arial" w:cs="Arial"/>
        </w:rPr>
        <w:t xml:space="preserve"> without seriously considering health implications despite historical reports that the water was corrosive, failure of public agencies to consistently monitor lead levels, </w:t>
      </w:r>
      <w:r w:rsidR="006C7C79">
        <w:rPr>
          <w:rFonts w:ascii="Arial" w:hAnsi="Arial" w:cs="Arial"/>
        </w:rPr>
        <w:t>concerns from the community and health officials</w:t>
      </w:r>
      <w:r w:rsidR="00D91552" w:rsidRPr="006C7C79">
        <w:rPr>
          <w:rFonts w:ascii="Arial" w:hAnsi="Arial" w:cs="Arial"/>
        </w:rPr>
        <w:t>,</w:t>
      </w:r>
      <w:r w:rsidR="006C7C79">
        <w:rPr>
          <w:rFonts w:ascii="Arial" w:hAnsi="Arial" w:cs="Arial"/>
        </w:rPr>
        <w:t xml:space="preserve"> and</w:t>
      </w:r>
      <w:r w:rsidR="00D91552" w:rsidRPr="006C7C79">
        <w:rPr>
          <w:rFonts w:ascii="Arial" w:hAnsi="Arial" w:cs="Arial"/>
        </w:rPr>
        <w:t xml:space="preserve"> research from the state’s Department of Health and Human Se</w:t>
      </w:r>
      <w:r w:rsidR="006C7C79">
        <w:rPr>
          <w:rFonts w:ascii="Arial" w:hAnsi="Arial" w:cs="Arial"/>
        </w:rPr>
        <w:t>rvices</w:t>
      </w:r>
      <w:r w:rsidR="00D91552" w:rsidRPr="006C7C79">
        <w:rPr>
          <w:rFonts w:ascii="Arial" w:hAnsi="Arial" w:cs="Arial"/>
        </w:rPr>
        <w:t xml:space="preserve">. It is clear that health was not a significant part of the decision to switch Flint’s water source. </w:t>
      </w:r>
    </w:p>
    <w:p w:rsidR="00A24261" w:rsidRPr="006C7C79" w:rsidRDefault="00D91552">
      <w:pPr>
        <w:rPr>
          <w:rFonts w:ascii="Arial" w:hAnsi="Arial" w:cs="Arial"/>
        </w:rPr>
      </w:pPr>
      <w:r w:rsidRPr="006C7C79">
        <w:rPr>
          <w:rFonts w:ascii="Arial" w:hAnsi="Arial" w:cs="Arial"/>
        </w:rPr>
        <w:t xml:space="preserve">While </w:t>
      </w:r>
      <w:r w:rsidR="00C73064" w:rsidRPr="006C7C79">
        <w:rPr>
          <w:rFonts w:ascii="Arial" w:hAnsi="Arial" w:cs="Arial"/>
        </w:rPr>
        <w:t xml:space="preserve">the state government’s decision to change Flint’s water supply </w:t>
      </w:r>
      <w:r w:rsidR="009D579A" w:rsidRPr="006C7C79">
        <w:rPr>
          <w:rFonts w:ascii="Arial" w:hAnsi="Arial" w:cs="Arial"/>
        </w:rPr>
        <w:t xml:space="preserve">was </w:t>
      </w:r>
      <w:r w:rsidR="00C73064" w:rsidRPr="006C7C79">
        <w:rPr>
          <w:rFonts w:ascii="Arial" w:hAnsi="Arial" w:cs="Arial"/>
        </w:rPr>
        <w:t xml:space="preserve">just a part of its larger economic policy, it still offers broad lessons for </w:t>
      </w:r>
      <w:r w:rsidR="009D579A" w:rsidRPr="006C7C79">
        <w:rPr>
          <w:rFonts w:ascii="Arial" w:hAnsi="Arial" w:cs="Arial"/>
        </w:rPr>
        <w:t>policy and program development</w:t>
      </w:r>
      <w:r w:rsidR="002D5B63" w:rsidRPr="006C7C79">
        <w:rPr>
          <w:rFonts w:ascii="Arial" w:hAnsi="Arial" w:cs="Arial"/>
        </w:rPr>
        <w:t xml:space="preserve"> and serves as a specific policy decision that, with rigorous evaluation, can provide actionable le</w:t>
      </w:r>
      <w:r w:rsidR="006C7C79">
        <w:rPr>
          <w:rFonts w:ascii="Arial" w:hAnsi="Arial" w:cs="Arial"/>
        </w:rPr>
        <w:t>ssons for policy makers</w:t>
      </w:r>
      <w:r w:rsidR="009D579A" w:rsidRPr="006C7C79">
        <w:rPr>
          <w:rFonts w:ascii="Arial" w:hAnsi="Arial" w:cs="Arial"/>
        </w:rPr>
        <w:t>.  For our purposes, I will discuss the Flint water source decision</w:t>
      </w:r>
      <w:r w:rsidR="002D5B63" w:rsidRPr="006C7C79">
        <w:rPr>
          <w:rFonts w:ascii="Arial" w:hAnsi="Arial" w:cs="Arial"/>
        </w:rPr>
        <w:t xml:space="preserve"> while recognizing that it is</w:t>
      </w:r>
      <w:r w:rsidR="009D579A" w:rsidRPr="006C7C79">
        <w:rPr>
          <w:rFonts w:ascii="Arial" w:hAnsi="Arial" w:cs="Arial"/>
        </w:rPr>
        <w:t xml:space="preserve"> part of a larger Flint water policy that includes the decision to switch water sources, charge customers certain prices for water, evict Flint residents when they didn’t pay utility bills for the contaminate</w:t>
      </w:r>
      <w:r w:rsidR="006C7C79">
        <w:rPr>
          <w:rFonts w:ascii="Arial" w:hAnsi="Arial" w:cs="Arial"/>
        </w:rPr>
        <w:t>d water,</w:t>
      </w:r>
      <w:r w:rsidR="009D579A" w:rsidRPr="006C7C79">
        <w:rPr>
          <w:rFonts w:ascii="Arial" w:hAnsi="Arial" w:cs="Arial"/>
        </w:rPr>
        <w:t xml:space="preserve"> </w:t>
      </w:r>
      <w:r w:rsidR="006B7DDB" w:rsidRPr="006C7C79">
        <w:rPr>
          <w:rFonts w:ascii="Arial" w:hAnsi="Arial" w:cs="Arial"/>
        </w:rPr>
        <w:t xml:space="preserve">silence community concerns over the drinking water, </w:t>
      </w:r>
      <w:r w:rsidR="009D579A" w:rsidRPr="006C7C79">
        <w:rPr>
          <w:rFonts w:ascii="Arial" w:hAnsi="Arial" w:cs="Arial"/>
        </w:rPr>
        <w:t>alter the ecology of the Flint River waterway</w:t>
      </w:r>
      <w:r w:rsidR="00C56E75" w:rsidRPr="006C7C79">
        <w:rPr>
          <w:rFonts w:ascii="Arial" w:hAnsi="Arial" w:cs="Arial"/>
        </w:rPr>
        <w:t>, etc.</w:t>
      </w:r>
    </w:p>
    <w:p w:rsidR="006B7DDB" w:rsidRDefault="006B7DDB" w:rsidP="006C7C79">
      <w:pPr>
        <w:spacing w:after="0" w:line="240" w:lineRule="auto"/>
        <w:rPr>
          <w:rFonts w:ascii="Arial" w:eastAsia="Times New Roman" w:hAnsi="Arial" w:cs="Arial"/>
        </w:rPr>
      </w:pPr>
      <w:r w:rsidRPr="006C7C79">
        <w:rPr>
          <w:rFonts w:ascii="Arial" w:eastAsia="Times New Roman" w:hAnsi="Arial" w:cs="Arial"/>
        </w:rPr>
        <w:t>•Describe why an evaluation of that policy is informative (primarily about the policy, or primarily a test of hypothesized medi</w:t>
      </w:r>
      <w:r w:rsidR="006C7C79">
        <w:rPr>
          <w:rFonts w:ascii="Arial" w:eastAsia="Times New Roman" w:hAnsi="Arial" w:cs="Arial"/>
        </w:rPr>
        <w:t>ators?)</w:t>
      </w:r>
    </w:p>
    <w:p w:rsidR="006C7C79" w:rsidRPr="006C7C79" w:rsidRDefault="006C7C79" w:rsidP="006C7C79">
      <w:pPr>
        <w:spacing w:after="0" w:line="240" w:lineRule="auto"/>
        <w:rPr>
          <w:rFonts w:ascii="Arial" w:eastAsia="Times New Roman" w:hAnsi="Arial" w:cs="Arial"/>
        </w:rPr>
      </w:pPr>
    </w:p>
    <w:p w:rsidR="009D579A" w:rsidRPr="006C7C79" w:rsidRDefault="009D579A">
      <w:pPr>
        <w:rPr>
          <w:rFonts w:ascii="Arial" w:hAnsi="Arial" w:cs="Arial"/>
        </w:rPr>
      </w:pPr>
      <w:r w:rsidRPr="006C7C79">
        <w:rPr>
          <w:rFonts w:ascii="Arial" w:hAnsi="Arial" w:cs="Arial"/>
        </w:rPr>
        <w:t>An evaluation of the Flint water policy</w:t>
      </w:r>
      <w:r w:rsidR="00C56E75" w:rsidRPr="006C7C79">
        <w:rPr>
          <w:rFonts w:ascii="Arial" w:hAnsi="Arial" w:cs="Arial"/>
        </w:rPr>
        <w:t xml:space="preserve"> is informative in examining and hopefully understanding the content, implementation, and impact of a policy. Had the stakeholders involved in the Flint water source decision thoroughly </w:t>
      </w:r>
      <w:r w:rsidR="002D5B63" w:rsidRPr="006C7C79">
        <w:rPr>
          <w:rFonts w:ascii="Arial" w:hAnsi="Arial" w:cs="Arial"/>
        </w:rPr>
        <w:t xml:space="preserve">and responsibly </w:t>
      </w:r>
      <w:r w:rsidR="00C56E75" w:rsidRPr="006C7C79">
        <w:rPr>
          <w:rFonts w:ascii="Arial" w:hAnsi="Arial" w:cs="Arial"/>
        </w:rPr>
        <w:t>investigated the feasibility and validity of their cost-cutting measure in order to make an evidence-based decision, it’s likely that the public health concerns of the corrosive water on old pipes and untested water would hav</w:t>
      </w:r>
      <w:r w:rsidR="002D5B63" w:rsidRPr="006C7C79">
        <w:rPr>
          <w:rFonts w:ascii="Arial" w:hAnsi="Arial" w:cs="Arial"/>
        </w:rPr>
        <w:t xml:space="preserve">e been considered by top government officials. </w:t>
      </w:r>
      <w:r w:rsidR="006C1E82" w:rsidRPr="006C7C79">
        <w:rPr>
          <w:rFonts w:ascii="Arial" w:hAnsi="Arial" w:cs="Arial"/>
        </w:rPr>
        <w:t>All hypothesized additional economic, social, and health costs should have been considered.</w:t>
      </w:r>
    </w:p>
    <w:p w:rsidR="006C1E82" w:rsidRPr="006C7C79" w:rsidRDefault="006C1E82">
      <w:pPr>
        <w:rPr>
          <w:rFonts w:ascii="Arial" w:hAnsi="Arial" w:cs="Arial"/>
        </w:rPr>
      </w:pPr>
      <w:r w:rsidRPr="006C7C79">
        <w:rPr>
          <w:rFonts w:ascii="Arial" w:hAnsi="Arial" w:cs="Arial"/>
        </w:rPr>
        <w:t>A post-event evaluation is integral to</w:t>
      </w:r>
      <w:r w:rsidR="002D5B63" w:rsidRPr="006C7C79">
        <w:rPr>
          <w:rFonts w:ascii="Arial" w:hAnsi="Arial" w:cs="Arial"/>
        </w:rPr>
        <w:t xml:space="preserve"> understand the extent of harm in order to design programs for the affected populations and to</w:t>
      </w:r>
      <w:r w:rsidRPr="006C7C79">
        <w:rPr>
          <w:rFonts w:ascii="Arial" w:hAnsi="Arial" w:cs="Arial"/>
        </w:rPr>
        <w:t xml:space="preserve"> inform future policy across </w:t>
      </w:r>
      <w:r w:rsidR="00461A4E" w:rsidRPr="006C7C79">
        <w:rPr>
          <w:rFonts w:ascii="Arial" w:hAnsi="Arial" w:cs="Arial"/>
        </w:rPr>
        <w:t>settings, particularly as access to potable drinking water is not an issue isolated to Flint.</w:t>
      </w:r>
      <w:r w:rsidR="006C7C79">
        <w:rPr>
          <w:rFonts w:ascii="Arial" w:hAnsi="Arial" w:cs="Arial"/>
        </w:rPr>
        <w:t xml:space="preserve"> Also, since many Flint residents are still unable to access clean drinking water affordably, immediate evaluation of the ongoing event is necessary.</w:t>
      </w:r>
    </w:p>
    <w:p w:rsidR="006B7DDB" w:rsidRPr="006C7C79" w:rsidRDefault="006B7DDB" w:rsidP="006B7DDB">
      <w:pPr>
        <w:spacing w:after="0" w:line="240" w:lineRule="auto"/>
        <w:rPr>
          <w:rFonts w:ascii="Arial" w:eastAsia="Times New Roman" w:hAnsi="Arial" w:cs="Arial"/>
        </w:rPr>
      </w:pPr>
      <w:r w:rsidRPr="006C7C79">
        <w:rPr>
          <w:rFonts w:ascii="Arial" w:eastAsia="Times New Roman" w:hAnsi="Arial" w:cs="Arial"/>
        </w:rPr>
        <w:t>•Specify the outcomes and populations you think most affected or least affected by the policy.</w:t>
      </w:r>
    </w:p>
    <w:p w:rsidR="006B7DDB" w:rsidRPr="006C7C79" w:rsidRDefault="006B7DDB" w:rsidP="006B7DDB">
      <w:pPr>
        <w:spacing w:after="0" w:line="240" w:lineRule="auto"/>
        <w:rPr>
          <w:rFonts w:ascii="Arial" w:eastAsia="Times New Roman" w:hAnsi="Arial" w:cs="Arial"/>
        </w:rPr>
      </w:pPr>
      <w:r w:rsidRPr="006C7C79">
        <w:rPr>
          <w:rFonts w:ascii="Arial" w:eastAsia="Times New Roman" w:hAnsi="Arial" w:cs="Arial"/>
        </w:rPr>
        <w:t>•Propose a study design to evaluate the policy</w:t>
      </w:r>
    </w:p>
    <w:p w:rsidR="006B7DDB" w:rsidRPr="006C7C79" w:rsidRDefault="006B7DDB" w:rsidP="006B7DDB">
      <w:pPr>
        <w:spacing w:after="0" w:line="240" w:lineRule="auto"/>
        <w:rPr>
          <w:rFonts w:ascii="Arial" w:eastAsia="Times New Roman" w:hAnsi="Arial" w:cs="Arial"/>
        </w:rPr>
      </w:pPr>
      <w:r w:rsidRPr="006C7C79">
        <w:rPr>
          <w:rFonts w:ascii="Arial" w:eastAsia="Times New Roman" w:hAnsi="Arial" w:cs="Arial"/>
        </w:rPr>
        <w:t>–Describe biggest challenge to implementing and drawing inferences about the impact of the policy on health</w:t>
      </w:r>
    </w:p>
    <w:p w:rsidR="006B7DDB" w:rsidRPr="006C7C79" w:rsidRDefault="006B7DDB">
      <w:pPr>
        <w:rPr>
          <w:rFonts w:ascii="Arial" w:hAnsi="Arial" w:cs="Arial"/>
        </w:rPr>
      </w:pPr>
    </w:p>
    <w:p w:rsidR="001929BD" w:rsidRPr="006C7C79" w:rsidRDefault="00461A4E">
      <w:pPr>
        <w:rPr>
          <w:rFonts w:ascii="Arial" w:hAnsi="Arial" w:cs="Arial"/>
        </w:rPr>
      </w:pPr>
      <w:r w:rsidRPr="006C7C79">
        <w:rPr>
          <w:rFonts w:ascii="Arial" w:hAnsi="Arial" w:cs="Arial"/>
        </w:rPr>
        <w:t>The contamination of Flint’s water</w:t>
      </w:r>
      <w:r w:rsidR="002D5B63" w:rsidRPr="006C7C79">
        <w:rPr>
          <w:rFonts w:ascii="Arial" w:hAnsi="Arial" w:cs="Arial"/>
        </w:rPr>
        <w:t xml:space="preserve"> has likely harmed all residents across health, social, and economic factors</w:t>
      </w:r>
      <w:r w:rsidRPr="006C7C79">
        <w:rPr>
          <w:rFonts w:ascii="Arial" w:hAnsi="Arial" w:cs="Arial"/>
        </w:rPr>
        <w:t xml:space="preserve">, however it is discussed that fetuses, children, and pregnant women, who are most susceptible to adverse health effects, </w:t>
      </w:r>
      <w:r w:rsidR="002D5B63" w:rsidRPr="006C7C79">
        <w:rPr>
          <w:rFonts w:ascii="Arial" w:hAnsi="Arial" w:cs="Arial"/>
        </w:rPr>
        <w:t xml:space="preserve">are more affected.  </w:t>
      </w:r>
      <w:r w:rsidRPr="006C7C79">
        <w:rPr>
          <w:rFonts w:ascii="Arial" w:hAnsi="Arial" w:cs="Arial"/>
        </w:rPr>
        <w:t>It is also understood that individuals experiencing other vulnerabilities,</w:t>
      </w:r>
      <w:r w:rsidR="002D5B63" w:rsidRPr="006C7C79">
        <w:rPr>
          <w:rFonts w:ascii="Arial" w:hAnsi="Arial" w:cs="Arial"/>
        </w:rPr>
        <w:t xml:space="preserve"> such as low socioeconomic status or</w:t>
      </w:r>
      <w:r w:rsidRPr="006C7C79">
        <w:rPr>
          <w:rFonts w:ascii="Arial" w:hAnsi="Arial" w:cs="Arial"/>
        </w:rPr>
        <w:t xml:space="preserve"> poor nutrit</w:t>
      </w:r>
      <w:r w:rsidR="002D5B63" w:rsidRPr="006C7C79">
        <w:rPr>
          <w:rFonts w:ascii="Arial" w:hAnsi="Arial" w:cs="Arial"/>
        </w:rPr>
        <w:t>ion</w:t>
      </w:r>
      <w:r w:rsidRPr="006C7C79">
        <w:rPr>
          <w:rFonts w:ascii="Arial" w:hAnsi="Arial" w:cs="Arial"/>
        </w:rPr>
        <w:t xml:space="preserve"> are also at an increased risk of poor health outcomes due to lead exposure.</w:t>
      </w:r>
      <w:r w:rsidR="00CA4B35" w:rsidRPr="006C7C79">
        <w:rPr>
          <w:rFonts w:ascii="Arial" w:hAnsi="Arial" w:cs="Arial"/>
        </w:rPr>
        <w:fldChar w:fldCharType="begin"/>
      </w:r>
      <w:r w:rsidR="00CA4B35" w:rsidRPr="006C7C79">
        <w:rPr>
          <w:rFonts w:ascii="Arial" w:hAnsi="Arial" w:cs="Arial"/>
        </w:rPr>
        <w:instrText xml:space="preserve"> ADDIN EN.CITE &lt;EndNote&gt;&lt;Cite&gt;&lt;Author&gt;Josephine Archbold&lt;/Author&gt;&lt;Year&gt;2014&lt;/Year&gt;&lt;RecNum&gt;54&lt;/RecNum&gt;&lt;DisplayText&gt;(2)&lt;/DisplayText&gt;&lt;record&gt;&lt;rec-number&gt;54&lt;/rec-number&gt;&lt;foreign-keys&gt;&lt;key app="EN" db-id="e2twe2w9sezpt7eaefsx5zx49zw5sarfswtf"&gt;54&lt;/key&gt;&lt;/foreign-keys&gt;&lt;ref-type name="Report"&gt;27&lt;/ref-type&gt;&lt;contributors&gt;&lt;authors&gt;&lt;author&gt;Josephine Archbold, Kate Bassil&lt;/author&gt;&lt;/authors&gt;&lt;/contributors&gt;&lt;titles&gt;&lt;title&gt;Health Impacts of Lead in Drinking Water&lt;/title&gt;&lt;/titles&gt;&lt;dates&gt;&lt;year&gt;2014&lt;/year&gt;&lt;/dates&gt;&lt;pub-location&gt;Toronto&lt;/pub-location&gt;&lt;publisher&gt;Toronto Public Health&lt;/publisher&gt;&lt;urls&gt;&lt;related-urls&gt;&lt;url&gt;https://www1.toronto.ca/City%20Of%20Toronto/Toronto%20Public%20Health/Healthy%20Public%20Policy/Report%20Library/PDF%20Reports%20Repository/Technical%20Report%20Health%20Impact%20of%20Lead%20in%20DW%202014_8_Final.pdf&lt;/url&gt;&lt;/related-urls&gt;&lt;/urls&gt;&lt;/record&gt;&lt;/Cite&gt;&lt;/EndNote&gt;</w:instrText>
      </w:r>
      <w:r w:rsidR="00CA4B35" w:rsidRPr="006C7C79">
        <w:rPr>
          <w:rFonts w:ascii="Arial" w:hAnsi="Arial" w:cs="Arial"/>
        </w:rPr>
        <w:fldChar w:fldCharType="separate"/>
      </w:r>
      <w:r w:rsidR="00CA4B35" w:rsidRPr="006C7C79">
        <w:rPr>
          <w:rFonts w:ascii="Arial" w:hAnsi="Arial" w:cs="Arial"/>
          <w:noProof/>
        </w:rPr>
        <w:t>(</w:t>
      </w:r>
      <w:hyperlink w:anchor="_ENREF_2" w:tooltip="Josephine Archbold, 2014 #54" w:history="1">
        <w:r w:rsidR="00CA4B35" w:rsidRPr="006C7C79">
          <w:rPr>
            <w:rFonts w:ascii="Arial" w:hAnsi="Arial" w:cs="Arial"/>
            <w:noProof/>
          </w:rPr>
          <w:t>2</w:t>
        </w:r>
      </w:hyperlink>
      <w:r w:rsidR="00CA4B35" w:rsidRPr="006C7C79">
        <w:rPr>
          <w:rFonts w:ascii="Arial" w:hAnsi="Arial" w:cs="Arial"/>
          <w:noProof/>
        </w:rPr>
        <w:t>)</w:t>
      </w:r>
      <w:r w:rsidR="00CA4B35" w:rsidRPr="006C7C79">
        <w:rPr>
          <w:rFonts w:ascii="Arial" w:hAnsi="Arial" w:cs="Arial"/>
        </w:rPr>
        <w:fldChar w:fldCharType="end"/>
      </w:r>
      <w:r w:rsidRPr="006C7C79">
        <w:rPr>
          <w:rFonts w:ascii="Arial" w:hAnsi="Arial" w:cs="Arial"/>
        </w:rPr>
        <w:t xml:space="preserve"> </w:t>
      </w:r>
      <w:r w:rsidR="00CA4B35" w:rsidRPr="006C7C79">
        <w:rPr>
          <w:rFonts w:ascii="Arial" w:hAnsi="Arial" w:cs="Arial"/>
        </w:rPr>
        <w:t>In order to better protect these vulnerable populations, there should be investment in studies to better understand the impact of lead exposure on fetuses, children, and pregnant women as well as in</w:t>
      </w:r>
      <w:r w:rsidR="002D5B63" w:rsidRPr="006C7C79">
        <w:rPr>
          <w:rFonts w:ascii="Arial" w:hAnsi="Arial" w:cs="Arial"/>
        </w:rPr>
        <w:t>divi</w:t>
      </w:r>
      <w:r w:rsidR="00CA4B35" w:rsidRPr="006C7C79">
        <w:rPr>
          <w:rFonts w:ascii="Arial" w:hAnsi="Arial" w:cs="Arial"/>
        </w:rPr>
        <w:t xml:space="preserve">duals with low socioeconomic status. For example, individuals living in poorer neighborhoods may perhaps be exposed to other </w:t>
      </w:r>
      <w:proofErr w:type="spellStart"/>
      <w:r w:rsidR="00CA4B35" w:rsidRPr="006C7C79">
        <w:rPr>
          <w:rFonts w:ascii="Arial" w:hAnsi="Arial" w:cs="Arial"/>
        </w:rPr>
        <w:t>neurotoxicants</w:t>
      </w:r>
      <w:proofErr w:type="spellEnd"/>
      <w:r w:rsidR="00CA4B35" w:rsidRPr="006C7C79">
        <w:rPr>
          <w:rFonts w:ascii="Arial" w:hAnsi="Arial" w:cs="Arial"/>
        </w:rPr>
        <w:t>, have a less nutritious diet, and increased stress, which may increase the harm of lead exposure.</w:t>
      </w:r>
      <w:r w:rsidR="00CA4B35" w:rsidRPr="006C7C79">
        <w:rPr>
          <w:rFonts w:ascii="Arial" w:hAnsi="Arial" w:cs="Arial"/>
        </w:rPr>
        <w:fldChar w:fldCharType="begin"/>
      </w:r>
      <w:r w:rsidR="00CA4B35" w:rsidRPr="006C7C79">
        <w:rPr>
          <w:rFonts w:ascii="Arial" w:hAnsi="Arial" w:cs="Arial"/>
        </w:rPr>
        <w:instrText xml:space="preserve"> ADDIN EN.CITE &lt;EndNote&gt;&lt;Cite&gt;&lt;Author&gt;Bellinger&lt;/Author&gt;&lt;Year&gt;2008&lt;/Year&gt;&lt;RecNum&gt;53&lt;/RecNum&gt;&lt;DisplayText&gt;(3)&lt;/DisplayText&gt;&lt;record&gt;&lt;rec-number&gt;53&lt;/rec-number&gt;&lt;foreign-keys&gt;&lt;key app="EN" db-id="e2twe2w9sezpt7eaefsx5zx49zw5sarfswtf"&gt;53&lt;/key&gt;&lt;/foreign-keys&gt;&lt;ref-type name="Journal Article"&gt;17&lt;/ref-type&gt;&lt;contributors&gt;&lt;authors&gt;&lt;author&gt;Bellinger, D. C.&lt;/author&gt;&lt;/authors&gt;&lt;/contributors&gt;&lt;auth-address&gt;Children&amp;apos;s Hospital Boston, Harvard Medical School, Harvard School of Public Health, Boston, Massachusetts 02115, USA. david.bellinger@childrens.harvard.edu&lt;/auth-address&gt;&lt;titles&gt;&lt;title&gt;Very low lead exposures and children&amp;apos;s neurodevelopment&lt;/title&gt;&lt;secondary-title&gt;Curr Opin Pediatr&lt;/secondary-title&gt;&lt;/titles&gt;&lt;periodical&gt;&lt;full-title&gt;Curr Opin Pediatr&lt;/full-title&gt;&lt;/periodical&gt;&lt;pages&gt;172-7&lt;/pages&gt;&lt;volume&gt;20&lt;/volume&gt;&lt;number&gt;2&lt;/number&gt;&lt;edition&gt;2008/03/12&lt;/edition&gt;&lt;keywords&gt;&lt;keyword&gt;Chelation Therapy&lt;/keyword&gt;&lt;keyword&gt;Child&lt;/keyword&gt;&lt;keyword&gt;Child Development/ drug effects&lt;/keyword&gt;&lt;keyword&gt;Dose-Response Relationship, Drug&lt;/keyword&gt;&lt;keyword&gt;Environmental Exposure/ analysis&lt;/keyword&gt;&lt;keyword&gt;Environmental Monitoring/ methods&lt;/keyword&gt;&lt;keyword&gt;Epidemiological Monitoring&lt;/keyword&gt;&lt;keyword&gt;Humans&lt;/keyword&gt;&lt;keyword&gt;Intelligence/drug effects&lt;/keyword&gt;&lt;keyword&gt;Lead/ blood/toxicity&lt;/keyword&gt;&lt;keyword&gt;Lead Poisoning, Nervous System, Childhood/ blood/drug therapy/ epidemiology&lt;/keyword&gt;&lt;keyword&gt;Male&lt;/keyword&gt;&lt;keyword&gt;Mental Processes/drug effects&lt;/keyword&gt;&lt;keyword&gt;Neuropsychological Tests&lt;/keyword&gt;&lt;keyword&gt;Psychomotor Performance/drug effects&lt;/keyword&gt;&lt;keyword&gt;Task Performance and Analysis&lt;/keyword&gt;&lt;/keywords&gt;&lt;dates&gt;&lt;year&gt;2008&lt;/year&gt;&lt;pub-dates&gt;&lt;date&gt;Apr&lt;/date&gt;&lt;/pub-dates&gt;&lt;/dates&gt;&lt;isbn&gt;1040-8703 (Print)&amp;#xD;1040-8703 (Linking)&lt;/isbn&gt;&lt;accession-num&gt;18332714&lt;/accession-num&gt;&lt;urls&gt;&lt;/urls&gt;&lt;electronic-resource-num&gt;10.1097/MOP.0b013e3282f4f97b&lt;/electronic-resource-num&gt;&lt;remote-database-provider&gt;NLM&lt;/remote-database-provider&gt;&lt;language&gt;eng&lt;/language&gt;&lt;/record&gt;&lt;/Cite&gt;&lt;/EndNote&gt;</w:instrText>
      </w:r>
      <w:r w:rsidR="00CA4B35" w:rsidRPr="006C7C79">
        <w:rPr>
          <w:rFonts w:ascii="Arial" w:hAnsi="Arial" w:cs="Arial"/>
        </w:rPr>
        <w:fldChar w:fldCharType="separate"/>
      </w:r>
      <w:r w:rsidR="00CA4B35" w:rsidRPr="006C7C79">
        <w:rPr>
          <w:rFonts w:ascii="Arial" w:hAnsi="Arial" w:cs="Arial"/>
          <w:noProof/>
        </w:rPr>
        <w:t>(</w:t>
      </w:r>
      <w:hyperlink w:anchor="_ENREF_3" w:tooltip="Bellinger, 2008 #53" w:history="1">
        <w:r w:rsidR="00CA4B35" w:rsidRPr="006C7C79">
          <w:rPr>
            <w:rFonts w:ascii="Arial" w:hAnsi="Arial" w:cs="Arial"/>
            <w:noProof/>
          </w:rPr>
          <w:t>3</w:t>
        </w:r>
      </w:hyperlink>
      <w:r w:rsidR="00CA4B35" w:rsidRPr="006C7C79">
        <w:rPr>
          <w:rFonts w:ascii="Arial" w:hAnsi="Arial" w:cs="Arial"/>
          <w:noProof/>
        </w:rPr>
        <w:t>)</w:t>
      </w:r>
      <w:r w:rsidR="00CA4B35" w:rsidRPr="006C7C79">
        <w:rPr>
          <w:rFonts w:ascii="Arial" w:hAnsi="Arial" w:cs="Arial"/>
        </w:rPr>
        <w:fldChar w:fldCharType="end"/>
      </w:r>
      <w:r w:rsidR="002D5B63" w:rsidRPr="006C7C79">
        <w:rPr>
          <w:rFonts w:ascii="Arial" w:hAnsi="Arial" w:cs="Arial"/>
        </w:rPr>
        <w:t xml:space="preserve"> Significantly, these individuals were and are still less able to purchase purified water for drinking, washing food, cooking, bathing, and cleaning.</w:t>
      </w:r>
      <w:r w:rsidR="00CA4B35" w:rsidRPr="006C7C79">
        <w:rPr>
          <w:rFonts w:ascii="Arial" w:hAnsi="Arial" w:cs="Arial"/>
        </w:rPr>
        <w:t xml:space="preserve"> A study that captures level of lead exposure as well as exposure to other stressors and adverse outcomes, ranging from health outcomes</w:t>
      </w:r>
      <w:r w:rsidR="00174D8C" w:rsidRPr="006C7C79">
        <w:rPr>
          <w:rFonts w:ascii="Arial" w:hAnsi="Arial" w:cs="Arial"/>
        </w:rPr>
        <w:t xml:space="preserve"> (such as headaches, abdominal cramps, loss of memory, renal disease, hypertension, anemia, reduced intelligence, attention deficit hyperactivity disorder, aggression, and increased mortality)</w:t>
      </w:r>
      <w:r w:rsidR="00CA4B35" w:rsidRPr="006C7C79">
        <w:rPr>
          <w:rFonts w:ascii="Arial" w:hAnsi="Arial" w:cs="Arial"/>
        </w:rPr>
        <w:t xml:space="preserve"> to academic deficits</w:t>
      </w:r>
      <w:r w:rsidR="00174D8C" w:rsidRPr="006C7C79">
        <w:rPr>
          <w:rFonts w:ascii="Arial" w:hAnsi="Arial" w:cs="Arial"/>
        </w:rPr>
        <w:t>, may influence programs for Flint and better inform future policy decisions globally.</w:t>
      </w:r>
      <w:r w:rsidR="002D5B63" w:rsidRPr="006C7C79">
        <w:rPr>
          <w:rFonts w:ascii="Arial" w:hAnsi="Arial" w:cs="Arial"/>
        </w:rPr>
        <w:t xml:space="preserve"> Since the implementation of the decision to change Flint’s water source clearly demarcates the changes in exposure, a rigorously designed study would measure outcomes before exposure and after exposure. </w:t>
      </w:r>
      <w:r w:rsidR="00E51B3D" w:rsidRPr="006C7C79">
        <w:rPr>
          <w:rFonts w:ascii="Arial" w:hAnsi="Arial" w:cs="Arial"/>
        </w:rPr>
        <w:t xml:space="preserve">However capturing lack of access to clean drinking water </w:t>
      </w:r>
      <w:r w:rsidR="001929BD" w:rsidRPr="006C7C79">
        <w:rPr>
          <w:rFonts w:ascii="Arial" w:hAnsi="Arial" w:cs="Arial"/>
        </w:rPr>
        <w:t>is complex as there are multilevel actors in play. To understand levels of exposure, for example, personal habits and length of exposure should be considered, as well as socioeconomic status and education, as those with an understanding of the harms of lead and the means to defend oneself from those harms by purchasing purified water or moving to another are</w:t>
      </w:r>
      <w:r w:rsidR="00BA2C39">
        <w:rPr>
          <w:rFonts w:ascii="Arial" w:hAnsi="Arial" w:cs="Arial"/>
        </w:rPr>
        <w:t>a will have lower exposure.</w:t>
      </w:r>
    </w:p>
    <w:p w:rsidR="00C903AA" w:rsidRPr="006C7C79" w:rsidRDefault="00C903AA">
      <w:pPr>
        <w:rPr>
          <w:rFonts w:ascii="Arial" w:hAnsi="Arial" w:cs="Arial"/>
        </w:rPr>
      </w:pPr>
      <w:r w:rsidRPr="006C7C79">
        <w:rPr>
          <w:rFonts w:ascii="Arial" w:hAnsi="Arial" w:cs="Arial"/>
        </w:rPr>
        <w:t>Implementing this study would be challenging, however drawing inferences about the impact of the policy on health are straightforward considering the immediate health impact and existing literature on the link between lead exposure and poor health outcomes. Challenges of implementation would include capturing levels of exposure and the complexities of interactions with social and economic factors that may worsen or limit harm of lead poisoning. For example, measuring the effect of lead poisoning on intelligence couldn’t simpl</w:t>
      </w:r>
      <w:r w:rsidR="003D2AE6" w:rsidRPr="006C7C79">
        <w:rPr>
          <w:rFonts w:ascii="Arial" w:hAnsi="Arial" w:cs="Arial"/>
        </w:rPr>
        <w:t xml:space="preserve">y be examined by looking at success in school or percentile on standardized exams when the influence of </w:t>
      </w:r>
      <w:r w:rsidR="00BA2C39">
        <w:rPr>
          <w:rFonts w:ascii="Arial" w:hAnsi="Arial" w:cs="Arial"/>
        </w:rPr>
        <w:t xml:space="preserve">this crisis has surely put </w:t>
      </w:r>
      <w:r w:rsidR="003D2AE6" w:rsidRPr="006C7C79">
        <w:rPr>
          <w:rFonts w:ascii="Arial" w:hAnsi="Arial" w:cs="Arial"/>
        </w:rPr>
        <w:t xml:space="preserve">additional emotional, monetary, and social stressors on individuals. </w:t>
      </w:r>
      <w:r w:rsidR="009B5DCB">
        <w:rPr>
          <w:rFonts w:ascii="Arial" w:hAnsi="Arial" w:cs="Arial"/>
        </w:rPr>
        <w:t xml:space="preserve">By evaluating the impact of lead exposure on health outcomes while investigating indicators of access (to clean water, education to understand the harm of lead poisoning, economic ability to move away, exposure to other stressors and contaminants, etc.) we would be able to generate the most important output of this study - </w:t>
      </w:r>
      <w:r w:rsidR="006B7DDB" w:rsidRPr="006C7C79">
        <w:rPr>
          <w:rFonts w:ascii="Arial" w:hAnsi="Arial" w:cs="Arial"/>
        </w:rPr>
        <w:t xml:space="preserve">clear and indisputable evidence of the health disparities in contaminant exposure. </w:t>
      </w:r>
      <w:bookmarkStart w:id="0" w:name="_GoBack"/>
      <w:bookmarkEnd w:id="0"/>
    </w:p>
    <w:p w:rsidR="00CA4B35" w:rsidRPr="006C7C79" w:rsidRDefault="00A24261" w:rsidP="00CA4B35">
      <w:pPr>
        <w:spacing w:after="0" w:line="240" w:lineRule="auto"/>
        <w:rPr>
          <w:rFonts w:ascii="Arial" w:hAnsi="Arial" w:cs="Arial"/>
          <w:noProof/>
        </w:rPr>
      </w:pPr>
      <w:r w:rsidRPr="006C7C79">
        <w:rPr>
          <w:rFonts w:ascii="Arial" w:hAnsi="Arial" w:cs="Arial"/>
        </w:rPr>
        <w:fldChar w:fldCharType="begin"/>
      </w:r>
      <w:r w:rsidRPr="006C7C79">
        <w:rPr>
          <w:rFonts w:ascii="Arial" w:hAnsi="Arial" w:cs="Arial"/>
        </w:rPr>
        <w:instrText xml:space="preserve"> ADDIN EN.REFLIST </w:instrText>
      </w:r>
      <w:r w:rsidRPr="006C7C79">
        <w:rPr>
          <w:rFonts w:ascii="Arial" w:hAnsi="Arial" w:cs="Arial"/>
        </w:rPr>
        <w:fldChar w:fldCharType="separate"/>
      </w:r>
      <w:bookmarkStart w:id="1" w:name="_ENREF_1"/>
      <w:r w:rsidR="00CA4B35" w:rsidRPr="006C7C79">
        <w:rPr>
          <w:rFonts w:ascii="Arial" w:hAnsi="Arial" w:cs="Arial"/>
          <w:noProof/>
        </w:rPr>
        <w:t>1.</w:t>
      </w:r>
      <w:r w:rsidR="00CA4B35" w:rsidRPr="006C7C79">
        <w:rPr>
          <w:rFonts w:ascii="Arial" w:hAnsi="Arial" w:cs="Arial"/>
          <w:noProof/>
        </w:rPr>
        <w:tab/>
        <w:t>Osypuk TL, Joshi P, Geronimo K, Acevedo-Garcia D. Do Social and Economic Policies Influence Health? A Review. Curr Epidemiol Rep. 2014;1(3):149-64. PMCID: 4429302.</w:t>
      </w:r>
      <w:bookmarkEnd w:id="1"/>
    </w:p>
    <w:p w:rsidR="00CA4B35" w:rsidRPr="006C7C79" w:rsidRDefault="00CA4B35" w:rsidP="00CA4B35">
      <w:pPr>
        <w:spacing w:after="0" w:line="240" w:lineRule="auto"/>
        <w:rPr>
          <w:rFonts w:ascii="Arial" w:hAnsi="Arial" w:cs="Arial"/>
          <w:noProof/>
        </w:rPr>
      </w:pPr>
      <w:bookmarkStart w:id="2" w:name="_ENREF_2"/>
      <w:r w:rsidRPr="006C7C79">
        <w:rPr>
          <w:rFonts w:ascii="Arial" w:hAnsi="Arial" w:cs="Arial"/>
          <w:noProof/>
        </w:rPr>
        <w:t>2.</w:t>
      </w:r>
      <w:r w:rsidRPr="006C7C79">
        <w:rPr>
          <w:rFonts w:ascii="Arial" w:hAnsi="Arial" w:cs="Arial"/>
          <w:noProof/>
        </w:rPr>
        <w:tab/>
        <w:t>Josephine Archbold KB. Health Impacts of Lead in Drinking Water. Toronto: Toronto Public Health; 2014 Contract No.: Document Number|.</w:t>
      </w:r>
      <w:bookmarkEnd w:id="2"/>
    </w:p>
    <w:p w:rsidR="00CA4B35" w:rsidRPr="006C7C79" w:rsidRDefault="00CA4B35" w:rsidP="00CA4B35">
      <w:pPr>
        <w:spacing w:line="240" w:lineRule="auto"/>
        <w:rPr>
          <w:rFonts w:ascii="Arial" w:hAnsi="Arial" w:cs="Arial"/>
          <w:noProof/>
        </w:rPr>
      </w:pPr>
      <w:bookmarkStart w:id="3" w:name="_ENREF_3"/>
      <w:r w:rsidRPr="006C7C79">
        <w:rPr>
          <w:rFonts w:ascii="Arial" w:hAnsi="Arial" w:cs="Arial"/>
          <w:noProof/>
        </w:rPr>
        <w:t>3.</w:t>
      </w:r>
      <w:r w:rsidRPr="006C7C79">
        <w:rPr>
          <w:rFonts w:ascii="Arial" w:hAnsi="Arial" w:cs="Arial"/>
          <w:noProof/>
        </w:rPr>
        <w:tab/>
        <w:t>Bellinger DC. Very low lead exposures and children's neurodevelopment. Curr Opin Pediatr. 2008;20(2):172-7.</w:t>
      </w:r>
      <w:bookmarkEnd w:id="3"/>
    </w:p>
    <w:p w:rsidR="00CA4B35" w:rsidRPr="006C7C79" w:rsidRDefault="00CA4B35" w:rsidP="00CA4B35">
      <w:pPr>
        <w:spacing w:line="240" w:lineRule="auto"/>
        <w:rPr>
          <w:rFonts w:ascii="Arial" w:hAnsi="Arial" w:cs="Arial"/>
          <w:noProof/>
        </w:rPr>
      </w:pPr>
    </w:p>
    <w:p w:rsidR="00A24261" w:rsidRPr="006C7C79" w:rsidRDefault="00A24261">
      <w:pPr>
        <w:rPr>
          <w:rFonts w:ascii="Arial" w:hAnsi="Arial" w:cs="Arial"/>
        </w:rPr>
      </w:pPr>
      <w:r w:rsidRPr="006C7C79">
        <w:rPr>
          <w:rFonts w:ascii="Arial" w:hAnsi="Arial" w:cs="Arial"/>
        </w:rPr>
        <w:fldChar w:fldCharType="end"/>
      </w:r>
    </w:p>
    <w:p w:rsidR="006C7C79" w:rsidRPr="006C7C79" w:rsidRDefault="006C7C79">
      <w:pPr>
        <w:rPr>
          <w:rFonts w:ascii="Arial" w:hAnsi="Arial" w:cs="Arial"/>
        </w:rPr>
      </w:pPr>
    </w:p>
    <w:sectPr w:rsidR="006C7C79" w:rsidRPr="006C7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543"/>
    <w:multiLevelType w:val="hybridMultilevel"/>
    <w:tmpl w:val="70FE1F6E"/>
    <w:lvl w:ilvl="0" w:tplc="6BE0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I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twe2w9sezpt7eaefsx5zx49zw5sarfswtf&quot;&gt;My EndNote Library&lt;record-ids&gt;&lt;item&gt;52&lt;/item&gt;&lt;item&gt;53&lt;/item&gt;&lt;item&gt;54&lt;/item&gt;&lt;/record-ids&gt;&lt;/item&gt;&lt;/Libraries&gt;"/>
  </w:docVars>
  <w:rsids>
    <w:rsidRoot w:val="00B51148"/>
    <w:rsid w:val="00174D8C"/>
    <w:rsid w:val="001929BD"/>
    <w:rsid w:val="001D4305"/>
    <w:rsid w:val="002D5B63"/>
    <w:rsid w:val="00395BAD"/>
    <w:rsid w:val="003D2AE6"/>
    <w:rsid w:val="003F76B2"/>
    <w:rsid w:val="00461A4E"/>
    <w:rsid w:val="006243C7"/>
    <w:rsid w:val="006B7DDB"/>
    <w:rsid w:val="006C1E82"/>
    <w:rsid w:val="006C7C79"/>
    <w:rsid w:val="008E7083"/>
    <w:rsid w:val="009B5DCB"/>
    <w:rsid w:val="009D579A"/>
    <w:rsid w:val="00A24261"/>
    <w:rsid w:val="00B51148"/>
    <w:rsid w:val="00BA2C39"/>
    <w:rsid w:val="00C56E75"/>
    <w:rsid w:val="00C73064"/>
    <w:rsid w:val="00C903AA"/>
    <w:rsid w:val="00CA4B35"/>
    <w:rsid w:val="00D6037C"/>
    <w:rsid w:val="00D91552"/>
    <w:rsid w:val="00E5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261"/>
    <w:rPr>
      <w:color w:val="0000FF" w:themeColor="hyperlink"/>
      <w:u w:val="single"/>
    </w:rPr>
  </w:style>
  <w:style w:type="paragraph" w:styleId="ListParagraph">
    <w:name w:val="List Paragraph"/>
    <w:basedOn w:val="Normal"/>
    <w:uiPriority w:val="34"/>
    <w:qFormat/>
    <w:rsid w:val="00D60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261"/>
    <w:rPr>
      <w:color w:val="0000FF" w:themeColor="hyperlink"/>
      <w:u w:val="single"/>
    </w:rPr>
  </w:style>
  <w:style w:type="paragraph" w:styleId="ListParagraph">
    <w:name w:val="List Paragraph"/>
    <w:basedOn w:val="Normal"/>
    <w:uiPriority w:val="34"/>
    <w:qFormat/>
    <w:rsid w:val="00D60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773">
      <w:bodyDiv w:val="1"/>
      <w:marLeft w:val="0"/>
      <w:marRight w:val="0"/>
      <w:marTop w:val="0"/>
      <w:marBottom w:val="0"/>
      <w:divBdr>
        <w:top w:val="none" w:sz="0" w:space="0" w:color="auto"/>
        <w:left w:val="none" w:sz="0" w:space="0" w:color="auto"/>
        <w:bottom w:val="none" w:sz="0" w:space="0" w:color="auto"/>
        <w:right w:val="none" w:sz="0" w:space="0" w:color="auto"/>
      </w:divBdr>
      <w:divsChild>
        <w:div w:id="1064567790">
          <w:marLeft w:val="0"/>
          <w:marRight w:val="0"/>
          <w:marTop w:val="0"/>
          <w:marBottom w:val="0"/>
          <w:divBdr>
            <w:top w:val="none" w:sz="0" w:space="0" w:color="auto"/>
            <w:left w:val="none" w:sz="0" w:space="0" w:color="auto"/>
            <w:bottom w:val="none" w:sz="0" w:space="0" w:color="auto"/>
            <w:right w:val="none" w:sz="0" w:space="0" w:color="auto"/>
          </w:divBdr>
        </w:div>
        <w:div w:id="951479465">
          <w:marLeft w:val="0"/>
          <w:marRight w:val="0"/>
          <w:marTop w:val="0"/>
          <w:marBottom w:val="0"/>
          <w:divBdr>
            <w:top w:val="none" w:sz="0" w:space="0" w:color="auto"/>
            <w:left w:val="none" w:sz="0" w:space="0" w:color="auto"/>
            <w:bottom w:val="none" w:sz="0" w:space="0" w:color="auto"/>
            <w:right w:val="none" w:sz="0" w:space="0" w:color="auto"/>
          </w:divBdr>
        </w:div>
        <w:div w:id="659502842">
          <w:marLeft w:val="0"/>
          <w:marRight w:val="0"/>
          <w:marTop w:val="0"/>
          <w:marBottom w:val="0"/>
          <w:divBdr>
            <w:top w:val="none" w:sz="0" w:space="0" w:color="auto"/>
            <w:left w:val="none" w:sz="0" w:space="0" w:color="auto"/>
            <w:bottom w:val="none" w:sz="0" w:space="0" w:color="auto"/>
            <w:right w:val="none" w:sz="0" w:space="0" w:color="auto"/>
          </w:divBdr>
        </w:div>
        <w:div w:id="823816932">
          <w:marLeft w:val="0"/>
          <w:marRight w:val="0"/>
          <w:marTop w:val="0"/>
          <w:marBottom w:val="0"/>
          <w:divBdr>
            <w:top w:val="none" w:sz="0" w:space="0" w:color="auto"/>
            <w:left w:val="none" w:sz="0" w:space="0" w:color="auto"/>
            <w:bottom w:val="none" w:sz="0" w:space="0" w:color="auto"/>
            <w:right w:val="none" w:sz="0" w:space="0" w:color="auto"/>
          </w:divBdr>
        </w:div>
        <w:div w:id="120024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UCSF</dc:creator>
  <cp:lastModifiedBy>Sarah Lisker</cp:lastModifiedBy>
  <cp:revision>11</cp:revision>
  <dcterms:created xsi:type="dcterms:W3CDTF">2016-02-09T18:08:00Z</dcterms:created>
  <dcterms:modified xsi:type="dcterms:W3CDTF">2016-02-09T19:50:00Z</dcterms:modified>
</cp:coreProperties>
</file>