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59" w:rsidRDefault="00274159" w:rsidP="00274159">
      <w:pPr>
        <w:widowControl w:val="0"/>
        <w:spacing w:line="240" w:lineRule="atLeast"/>
        <w:ind w:left="720" w:hanging="720"/>
        <w:jc w:val="center"/>
      </w:pPr>
      <w:bookmarkStart w:id="0" w:name="_GoBack"/>
      <w:bookmarkEnd w:id="0"/>
    </w:p>
    <w:p w:rsidR="00274159" w:rsidRDefault="00274159" w:rsidP="00274159">
      <w:pPr>
        <w:widowControl w:val="0"/>
        <w:spacing w:line="240" w:lineRule="atLeast"/>
        <w:ind w:left="720" w:hanging="720"/>
      </w:pPr>
      <w:r>
        <w:t xml:space="preserve">DATING OF LABS:  (for low risk woman)   </w:t>
      </w:r>
    </w:p>
    <w:p w:rsidR="00274159" w:rsidRDefault="00274159" w:rsidP="00274159">
      <w:pPr>
        <w:widowControl w:val="0"/>
        <w:spacing w:line="240" w:lineRule="atLeast"/>
        <w:ind w:left="720" w:hanging="720"/>
      </w:pPr>
    </w:p>
    <w:p w:rsidR="00274159" w:rsidRDefault="00274159" w:rsidP="00274159">
      <w:pPr>
        <w:widowControl w:val="0"/>
        <w:spacing w:line="240" w:lineRule="atLeast"/>
        <w:ind w:left="720" w:hanging="720"/>
      </w:pPr>
      <w:r>
        <w:t>Initial Visit:  Hg/</w:t>
      </w:r>
      <w:proofErr w:type="spellStart"/>
      <w:r>
        <w:t>Hct</w:t>
      </w:r>
      <w:proofErr w:type="spellEnd"/>
      <w:r>
        <w:t xml:space="preserve">, UA, Blood type, Antibody screen, Rubella titer, syphilis screen, pap smear, GC, Chlamydia, </w:t>
      </w:r>
      <w:proofErr w:type="spellStart"/>
      <w:r>
        <w:t>HBsAg</w:t>
      </w:r>
      <w:proofErr w:type="spellEnd"/>
      <w:r>
        <w:t>, GLT if risk factors (see page 43 of AP clinical notebook)</w:t>
      </w:r>
      <w:proofErr w:type="gramStart"/>
      <w:r>
        <w:t>,  HIV</w:t>
      </w:r>
      <w:proofErr w:type="gramEnd"/>
      <w:r>
        <w:t>, varicella titer as needed.</w:t>
      </w:r>
    </w:p>
    <w:p w:rsidR="00274159" w:rsidRDefault="00274159" w:rsidP="00274159">
      <w:pPr>
        <w:widowControl w:val="0"/>
        <w:spacing w:line="240" w:lineRule="atLeast"/>
        <w:ind w:left="720" w:hanging="720"/>
      </w:pPr>
    </w:p>
    <w:p w:rsidR="00274159" w:rsidRDefault="00274159" w:rsidP="00274159">
      <w:pPr>
        <w:widowControl w:val="0"/>
        <w:spacing w:line="240" w:lineRule="atLeast"/>
        <w:ind w:left="1440" w:hanging="1440"/>
      </w:pPr>
      <w:r>
        <w:t>8-20 weeks:</w:t>
      </w:r>
      <w:r>
        <w:tab/>
      </w:r>
    </w:p>
    <w:p w:rsidR="00274159" w:rsidRDefault="00274159" w:rsidP="00274159">
      <w:pPr>
        <w:widowControl w:val="0"/>
        <w:spacing w:line="240" w:lineRule="atLeast"/>
        <w:ind w:left="1440" w:hanging="1440"/>
      </w:pPr>
      <w:r>
        <w:t xml:space="preserve">       10 -</w:t>
      </w:r>
      <w:proofErr w:type="gramStart"/>
      <w:r w:rsidRPr="000543B1">
        <w:t>13</w:t>
      </w:r>
      <w:r w:rsidRPr="00E964CC">
        <w:rPr>
          <w:vertAlign w:val="superscript"/>
        </w:rPr>
        <w:t>6</w:t>
      </w:r>
      <w:r>
        <w:rPr>
          <w:vertAlign w:val="superscript"/>
        </w:rPr>
        <w:t xml:space="preserve">  </w:t>
      </w:r>
      <w:r>
        <w:t>weeks</w:t>
      </w:r>
      <w:proofErr w:type="gramEnd"/>
      <w:r>
        <w:t xml:space="preserve">:  Offer: First trimester diagnostic screen </w:t>
      </w:r>
    </w:p>
    <w:p w:rsidR="00274159" w:rsidRDefault="00274159" w:rsidP="00274159">
      <w:pPr>
        <w:widowControl w:val="0"/>
        <w:spacing w:line="240" w:lineRule="atLeast"/>
        <w:ind w:left="1440" w:hanging="1440"/>
      </w:pPr>
      <w:r>
        <w:t xml:space="preserve">       11</w:t>
      </w:r>
      <w:r w:rsidRPr="000543B1">
        <w:rPr>
          <w:vertAlign w:val="superscript"/>
        </w:rPr>
        <w:t>2</w:t>
      </w:r>
      <w:r>
        <w:t>-14</w:t>
      </w:r>
      <w:r w:rsidRPr="000543B1">
        <w:rPr>
          <w:vertAlign w:val="superscript"/>
        </w:rPr>
        <w:t>2</w:t>
      </w:r>
      <w:r w:rsidRPr="0082632C">
        <w:t xml:space="preserve"> </w:t>
      </w:r>
      <w:r>
        <w:t xml:space="preserve">weeks:  Offer: Nuchal </w:t>
      </w:r>
      <w:proofErr w:type="spellStart"/>
      <w:r>
        <w:t>Transluceny</w:t>
      </w:r>
      <w:proofErr w:type="spellEnd"/>
    </w:p>
    <w:p w:rsidR="00274159" w:rsidRDefault="00274159" w:rsidP="00274159">
      <w:pPr>
        <w:widowControl w:val="0"/>
        <w:spacing w:line="240" w:lineRule="atLeast"/>
      </w:pPr>
      <w:r>
        <w:t xml:space="preserve">       15-20 weeks</w:t>
      </w:r>
      <w:proofErr w:type="gramStart"/>
      <w:r>
        <w:t>:   Offer</w:t>
      </w:r>
      <w:proofErr w:type="gramEnd"/>
      <w:r>
        <w:t xml:space="preserve">: AFP/Quadruple marker screen  </w:t>
      </w:r>
    </w:p>
    <w:p w:rsidR="00274159" w:rsidRDefault="00274159" w:rsidP="00274159">
      <w:pPr>
        <w:widowControl w:val="0"/>
        <w:spacing w:line="240" w:lineRule="atLeast"/>
        <w:ind w:left="1440"/>
      </w:pPr>
      <w:r>
        <w:t xml:space="preserve">If indicated*: 10-12 weeks: CVS </w:t>
      </w:r>
    </w:p>
    <w:p w:rsidR="00274159" w:rsidRDefault="00274159" w:rsidP="00274159">
      <w:pPr>
        <w:widowControl w:val="0"/>
        <w:spacing w:line="240" w:lineRule="atLeast"/>
        <w:ind w:left="1440"/>
      </w:pPr>
      <w:r>
        <w:tab/>
        <w:t xml:space="preserve">          </w:t>
      </w:r>
      <w:proofErr w:type="gramStart"/>
      <w:r>
        <w:t xml:space="preserve">10+ </w:t>
      </w:r>
      <w:proofErr w:type="spellStart"/>
      <w:r>
        <w:t>wks</w:t>
      </w:r>
      <w:proofErr w:type="spellEnd"/>
      <w:r>
        <w:t>-NIPT (noninvasive prenatal testing- cell free DNA)</w:t>
      </w:r>
      <w:proofErr w:type="gramEnd"/>
    </w:p>
    <w:p w:rsidR="00274159" w:rsidRDefault="00274159" w:rsidP="00274159">
      <w:pPr>
        <w:widowControl w:val="0"/>
        <w:spacing w:line="240" w:lineRule="atLeast"/>
      </w:pPr>
      <w:r>
        <w:tab/>
      </w:r>
      <w:r>
        <w:tab/>
      </w:r>
      <w:r>
        <w:tab/>
        <w:t xml:space="preserve">          16-18 weeks Amniocentesis</w:t>
      </w:r>
    </w:p>
    <w:p w:rsidR="00274159" w:rsidRDefault="00274159" w:rsidP="00274159">
      <w:pPr>
        <w:widowControl w:val="0"/>
        <w:spacing w:line="240" w:lineRule="atLeast"/>
      </w:pPr>
      <w:r>
        <w:t xml:space="preserve">           </w:t>
      </w:r>
      <w:r>
        <w:tab/>
        <w:t xml:space="preserve">            *</w:t>
      </w:r>
      <w:proofErr w:type="gramStart"/>
      <w:r w:rsidRPr="009E3A41">
        <w:rPr>
          <w:i/>
        </w:rPr>
        <w:t>per</w:t>
      </w:r>
      <w:proofErr w:type="gramEnd"/>
      <w:r w:rsidRPr="009E3A41">
        <w:rPr>
          <w:i/>
        </w:rPr>
        <w:t xml:space="preserve"> ACOG always indicated to offer, but insurance doesn’t cover everyone</w:t>
      </w:r>
    </w:p>
    <w:p w:rsidR="00274159" w:rsidRDefault="00274159" w:rsidP="00274159">
      <w:pPr>
        <w:widowControl w:val="0"/>
        <w:spacing w:line="240" w:lineRule="atLeast"/>
        <w:ind w:left="720" w:hanging="720"/>
      </w:pPr>
      <w:r>
        <w:t>26-28 weeks:</w:t>
      </w:r>
      <w:r>
        <w:tab/>
        <w:t xml:space="preserve">CBC, 1 </w:t>
      </w:r>
      <w:proofErr w:type="gramStart"/>
      <w:r>
        <w:t>hours</w:t>
      </w:r>
      <w:proofErr w:type="gramEnd"/>
      <w:r>
        <w:t xml:space="preserve"> GLT, poss. VDRL,</w:t>
      </w:r>
      <w:r>
        <w:br/>
      </w:r>
      <w:r>
        <w:tab/>
        <w:t>Antibody screen (if Rh negative)</w:t>
      </w:r>
    </w:p>
    <w:p w:rsidR="00274159" w:rsidRDefault="00274159" w:rsidP="00274159">
      <w:pPr>
        <w:widowControl w:val="0"/>
        <w:spacing w:line="240" w:lineRule="atLeast"/>
        <w:ind w:left="720" w:hanging="720"/>
      </w:pPr>
    </w:p>
    <w:p w:rsidR="00274159" w:rsidRDefault="00274159" w:rsidP="00274159">
      <w:pPr>
        <w:widowControl w:val="0"/>
        <w:spacing w:line="240" w:lineRule="atLeast"/>
        <w:ind w:left="720" w:hanging="720"/>
      </w:pPr>
      <w:r>
        <w:t>32-36 weeks:</w:t>
      </w:r>
      <w:r>
        <w:tab/>
        <w:t>GC/CT (Gonorrhea/Chlamydia)  (depends on service and risk of patient</w:t>
      </w:r>
      <w:proofErr w:type="gramStart"/>
      <w:r>
        <w:t>)  CDC</w:t>
      </w:r>
      <w:proofErr w:type="gramEnd"/>
      <w:r>
        <w:t xml:space="preserve"> recommends for all women &lt;24 </w:t>
      </w:r>
      <w:proofErr w:type="spellStart"/>
      <w:r>
        <w:t>yrs</w:t>
      </w:r>
      <w:proofErr w:type="spellEnd"/>
      <w:r>
        <w:t xml:space="preserve"> old.</w:t>
      </w:r>
    </w:p>
    <w:p w:rsidR="00274159" w:rsidRDefault="00274159" w:rsidP="00274159">
      <w:pPr>
        <w:widowControl w:val="0"/>
        <w:spacing w:line="240" w:lineRule="atLeast"/>
        <w:ind w:left="720" w:hanging="720"/>
      </w:pPr>
    </w:p>
    <w:p w:rsidR="00274159" w:rsidRDefault="00274159" w:rsidP="00274159">
      <w:pPr>
        <w:widowControl w:val="0"/>
        <w:spacing w:line="240" w:lineRule="atLeast"/>
        <w:ind w:left="720" w:hanging="720"/>
      </w:pPr>
      <w:r>
        <w:t>36-37 weeks:</w:t>
      </w:r>
      <w:r>
        <w:tab/>
        <w:t>Beta Strep culture</w:t>
      </w:r>
    </w:p>
    <w:p w:rsidR="00274159" w:rsidRDefault="00274159" w:rsidP="00274159">
      <w:pPr>
        <w:widowControl w:val="0"/>
        <w:spacing w:line="240" w:lineRule="atLeast"/>
      </w:pPr>
    </w:p>
    <w:p w:rsidR="00274159" w:rsidRDefault="00274159" w:rsidP="00274159">
      <w:pPr>
        <w:widowControl w:val="0"/>
        <w:spacing w:line="240" w:lineRule="atLeast"/>
        <w:ind w:left="720" w:hanging="720"/>
      </w:pPr>
      <w:r>
        <w:t>Vaccines:</w:t>
      </w:r>
    </w:p>
    <w:p w:rsidR="00274159" w:rsidRDefault="00274159" w:rsidP="00274159">
      <w:pPr>
        <w:widowControl w:val="0"/>
        <w:spacing w:line="240" w:lineRule="atLeast"/>
        <w:ind w:left="720" w:hanging="720"/>
      </w:pPr>
      <w:r>
        <w:t xml:space="preserve">    Flu (seasonal) after first trimester</w:t>
      </w:r>
    </w:p>
    <w:p w:rsidR="00274159" w:rsidRDefault="00274159" w:rsidP="00274159">
      <w:pPr>
        <w:widowControl w:val="0"/>
        <w:spacing w:line="240" w:lineRule="atLeast"/>
        <w:ind w:left="720" w:hanging="720"/>
      </w:pPr>
      <w:r>
        <w:t xml:space="preserve">    </w:t>
      </w:r>
      <w:proofErr w:type="spellStart"/>
      <w:r>
        <w:t>Tdap</w:t>
      </w:r>
      <w:proofErr w:type="spellEnd"/>
      <w:r>
        <w:t xml:space="preserve">:  27-36 </w:t>
      </w:r>
      <w:proofErr w:type="spellStart"/>
      <w:r>
        <w:t>wks</w:t>
      </w:r>
      <w:proofErr w:type="spellEnd"/>
    </w:p>
    <w:p w:rsidR="00274159" w:rsidRDefault="00274159" w:rsidP="00274159">
      <w:pPr>
        <w:rPr>
          <w:rFonts w:hint="eastAsia"/>
        </w:rPr>
      </w:pPr>
    </w:p>
    <w:p w:rsidR="00560368" w:rsidRDefault="00560368">
      <w:pPr>
        <w:rPr>
          <w:rFonts w:hint="eastAsia"/>
        </w:rPr>
      </w:pPr>
    </w:p>
    <w:sectPr w:rsidR="00560368" w:rsidSect="005603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59"/>
    <w:rsid w:val="00274159"/>
    <w:rsid w:val="005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8B23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59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59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Macintosh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Kaplan</dc:creator>
  <cp:keywords/>
  <dc:description/>
  <cp:lastModifiedBy>Rebekah Kaplan</cp:lastModifiedBy>
  <cp:revision>1</cp:revision>
  <dcterms:created xsi:type="dcterms:W3CDTF">2017-03-23T21:08:00Z</dcterms:created>
  <dcterms:modified xsi:type="dcterms:W3CDTF">2017-03-23T21:08:00Z</dcterms:modified>
</cp:coreProperties>
</file>