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0A8" w:rsidRPr="000B50A8" w:rsidRDefault="000B50A8">
      <w:r>
        <w:rPr>
          <w:b/>
        </w:rPr>
        <w:t>The Gap:</w:t>
      </w:r>
    </w:p>
    <w:p w:rsidR="00E21473" w:rsidRDefault="00E21473">
      <w:r>
        <w:t>Annual or biennial t</w:t>
      </w:r>
      <w:r w:rsidR="0032405A" w:rsidRPr="0032405A">
        <w:t>esting for fecal occult blood with high-sensitivity guaiac or fecal immunochemical tests has proven effectiveness based on the results of rand</w:t>
      </w:r>
      <w:r w:rsidR="0032405A">
        <w:t>omized controlled trials (RCTs)</w:t>
      </w:r>
      <w:r w:rsidR="0032405A" w:rsidRPr="0032405A">
        <w:t xml:space="preserve"> and is a recommended means of CRC scree</w:t>
      </w:r>
      <w:r w:rsidR="0032405A">
        <w:t>ning in adults aged 50 to 75.</w:t>
      </w:r>
      <w:r w:rsidR="0032405A" w:rsidRPr="0032405A">
        <w:t xml:space="preserve"> However its impact on CRC mortality depends on the timely performance of diagnostic colonoscopy after an initial positive result and guidelines generally recommend colonoscopy follow-up within 1 to</w:t>
      </w:r>
      <w:r w:rsidR="0032405A">
        <w:t xml:space="preserve"> 3 months of a positive test.</w:t>
      </w:r>
      <w:r w:rsidR="0032405A" w:rsidRPr="0032405A">
        <w:t xml:space="preserve"> </w:t>
      </w:r>
    </w:p>
    <w:p w:rsidR="0032405A" w:rsidRDefault="0032405A">
      <w:r w:rsidRPr="0032405A">
        <w:t>It has been shown that long time intervals between positive test results and colonoscopy can have important implications for CRC prognosis.</w:t>
      </w:r>
      <w:r w:rsidR="00E21473">
        <w:t xml:space="preserve"> One study found that each additional 30 days to colonoscopy was associated with a significant 10% increase in the odds of advanced neoplasia, while a modeling study found that delays decreased the efficacy of screening with FIT by 10%. A study currently in press found that delays greater than 6 months are associated with an increased risk of cancer diagnosis.</w:t>
      </w:r>
    </w:p>
    <w:p w:rsidR="000B50A8" w:rsidRDefault="0032405A">
      <w:r w:rsidRPr="0032405A">
        <w:t xml:space="preserve">Outside of RCTs where the proportion of participants completing colonoscopy after positive fecal </w:t>
      </w:r>
      <w:r>
        <w:t>blood tests were 80 to 90%,</w:t>
      </w:r>
      <w:r w:rsidRPr="0032405A">
        <w:t xml:space="preserve"> the proportion getting timely follow-up colonoscopy varies widely between different settings and in </w:t>
      </w:r>
      <w:r>
        <w:t>several cases is under 50%.</w:t>
      </w:r>
      <w:r w:rsidRPr="0032405A">
        <w:t xml:space="preserve"> The organization of follow-up in CRC screening is especially complex because it involves the interaction of multiple levels of care and a relatively invasive diagnostic test that may not be appropriate for all patients who und</w:t>
      </w:r>
      <w:r>
        <w:t>erwent fecal blood testing</w:t>
      </w:r>
      <w:r w:rsidR="00E21473">
        <w:t>. We conducted a systematic review of interventions to increase the rate of follow-up colonoscopy and found moderate evidence to support patient navigator programs and provider reminder systems.</w:t>
      </w:r>
    </w:p>
    <w:p w:rsidR="00EA366D" w:rsidRDefault="000B50A8">
      <w:r>
        <w:rPr>
          <w:b/>
        </w:rPr>
        <w:t>Applying Theory</w:t>
      </w:r>
      <w:r>
        <w:t xml:space="preserve">: </w:t>
      </w:r>
    </w:p>
    <w:p w:rsidR="00EA366D" w:rsidRDefault="00EA366D">
      <w:r>
        <w:t>Multiple socio-ecological levels contribute to the patients not getting a colonoscopy afte</w:t>
      </w:r>
      <w:r w:rsidR="00E43F62">
        <w:t>r a positive test. A</w:t>
      </w:r>
      <w:r>
        <w:t>t the patient level, patients have multiple competing demands and may not prioritize colonoscopy; it may be difficult for them to arrange time off work and transportation; they may have a fatalist view and think that a colonoscopy will simply confirm</w:t>
      </w:r>
      <w:r w:rsidR="00E21473">
        <w:t xml:space="preserve"> </w:t>
      </w:r>
      <w:r>
        <w:t>that they are going to die from cancer; and finally they may have fears of discomfort, pain and loss of privacy from colonoscopy. At the provider level, providers may erroneously repeat the FIT or order a different follow-up test in an attempt to help their patient avoid the discomfort of colonoscopy</w:t>
      </w:r>
      <w:r w:rsidR="00663C42">
        <w:t>;</w:t>
      </w:r>
      <w:r>
        <w:t xml:space="preserve"> they may assume that </w:t>
      </w:r>
      <w:r w:rsidR="00663C42">
        <w:t xml:space="preserve">the result </w:t>
      </w:r>
      <w:r>
        <w:t xml:space="preserve">is someone else’s responsibility, or they may be overburdened and forget </w:t>
      </w:r>
      <w:r w:rsidR="00663C42">
        <w:t xml:space="preserve">to inform the patient </w:t>
      </w:r>
      <w:r>
        <w:t xml:space="preserve">or lose track of the result. At the </w:t>
      </w:r>
      <w:r w:rsidR="00E43F62">
        <w:t>organization</w:t>
      </w:r>
      <w:r>
        <w:t xml:space="preserve"> level, there may be an inadequate supply of specialists to provide colonoscopies or endoscopy suite space; test results could b</w:t>
      </w:r>
      <w:r w:rsidR="00663C42">
        <w:t>e sent to the wrong providers;</w:t>
      </w:r>
      <w:r>
        <w:t xml:space="preserve"> there </w:t>
      </w:r>
      <w:r w:rsidR="00663C42">
        <w:t>may be no</w:t>
      </w:r>
      <w:r>
        <w:t xml:space="preserve"> tracking system;</w:t>
      </w:r>
      <w:r w:rsidR="00663C42">
        <w:t xml:space="preserve"> or</w:t>
      </w:r>
      <w:r>
        <w:t xml:space="preserve"> </w:t>
      </w:r>
      <w:r w:rsidR="00E43F62">
        <w:t xml:space="preserve">there may be inadequate support </w:t>
      </w:r>
      <w:r w:rsidR="00663C42">
        <w:t xml:space="preserve">staff </w:t>
      </w:r>
      <w:r w:rsidR="00E43F62">
        <w:t xml:space="preserve">to help with scheduling </w:t>
      </w:r>
      <w:r w:rsidR="00663C42">
        <w:t>and explaining colonoscopy prep to patients</w:t>
      </w:r>
      <w:r w:rsidR="00E43F62">
        <w:t>. At the system level, colonoscopies may be coded as a diagnostic procedure with a large co-pay, or in a large, automated outreach program like at Kaiser, people who should not be undergoing screening with FIT (recent colonoscopy, severe comorbidities or from a high risk group) may be mailed or offered a FIT. I believe that the personal and organizational level are most important for my work, because previous work within KP has tried to take the burden off of individual providers when it comes to tracking results and choosing follow-up. I will be focusing on the organizational level as I am most interested in using positive deviants (high performing areas) to guide quality improvement.</w:t>
      </w:r>
      <w:r w:rsidR="00663C42">
        <w:t xml:space="preserve"> For my work, I am referring to individual Adult and Family Medicine centers and their corresponding Gastroenterology departments within Kaiser Northern California (KPNC).</w:t>
      </w:r>
    </w:p>
    <w:p w:rsidR="00271ED2" w:rsidRDefault="00663C42">
      <w:r>
        <w:t xml:space="preserve">I first applied the CFIR model and focused on Outer Setting </w:t>
      </w:r>
      <w:r w:rsidR="00CF17CD">
        <w:t>at the organizational level</w:t>
      </w:r>
      <w:r>
        <w:t>. For the outer setting</w:t>
      </w:r>
      <w:r w:rsidR="00271ED2">
        <w:t>:</w:t>
      </w:r>
    </w:p>
    <w:tbl>
      <w:tblPr>
        <w:tblStyle w:val="TableGrid"/>
        <w:tblW w:w="0" w:type="auto"/>
        <w:tblLook w:val="04A0" w:firstRow="1" w:lastRow="0" w:firstColumn="1" w:lastColumn="0" w:noHBand="0" w:noVBand="1"/>
      </w:tblPr>
      <w:tblGrid>
        <w:gridCol w:w="3397"/>
        <w:gridCol w:w="5665"/>
      </w:tblGrid>
      <w:tr w:rsidR="00271ED2" w:rsidTr="00271ED2">
        <w:tc>
          <w:tcPr>
            <w:tcW w:w="3397" w:type="dxa"/>
          </w:tcPr>
          <w:p w:rsidR="00271ED2" w:rsidRDefault="00271ED2">
            <w:r>
              <w:lastRenderedPageBreak/>
              <w:t>Construct</w:t>
            </w:r>
          </w:p>
        </w:tc>
        <w:tc>
          <w:tcPr>
            <w:tcW w:w="5665" w:type="dxa"/>
          </w:tcPr>
          <w:p w:rsidR="00271ED2" w:rsidRDefault="00271ED2">
            <w:r>
              <w:t>Application to FIT positive follow-up in KPNC</w:t>
            </w:r>
          </w:p>
        </w:tc>
      </w:tr>
      <w:tr w:rsidR="00271ED2" w:rsidTr="00271ED2">
        <w:tc>
          <w:tcPr>
            <w:tcW w:w="3397" w:type="dxa"/>
          </w:tcPr>
          <w:p w:rsidR="00271ED2" w:rsidRDefault="001964DF">
            <w:r>
              <w:t>A. Patient needs &amp; resources</w:t>
            </w:r>
          </w:p>
        </w:tc>
        <w:tc>
          <w:tcPr>
            <w:tcW w:w="5665" w:type="dxa"/>
          </w:tcPr>
          <w:p w:rsidR="00271ED2" w:rsidRDefault="001964DF">
            <w:r>
              <w:t>Staff skills and knowledge are critical to providing high-quality patient navigation, provide patients with resources to help them and ensure that patients are contacted at times and in ways that are convenient to them (mixture of phone and secure messaging)</w:t>
            </w:r>
          </w:p>
        </w:tc>
      </w:tr>
      <w:tr w:rsidR="00271ED2" w:rsidTr="00271ED2">
        <w:tc>
          <w:tcPr>
            <w:tcW w:w="3397" w:type="dxa"/>
          </w:tcPr>
          <w:p w:rsidR="00271ED2" w:rsidRDefault="001964DF">
            <w:r>
              <w:t>B. Cosmopolitan</w:t>
            </w:r>
          </w:p>
        </w:tc>
        <w:tc>
          <w:tcPr>
            <w:tcW w:w="5665" w:type="dxa"/>
          </w:tcPr>
          <w:p w:rsidR="00271ED2" w:rsidRDefault="001964DF">
            <w:r>
              <w:t>The primary care and gastroenterology departments need to work closely together to provide patients with continuity, and individual GI departments should understand larger trends and strategies across the regions.</w:t>
            </w:r>
          </w:p>
        </w:tc>
      </w:tr>
      <w:tr w:rsidR="00271ED2" w:rsidTr="00271ED2">
        <w:tc>
          <w:tcPr>
            <w:tcW w:w="3397" w:type="dxa"/>
          </w:tcPr>
          <w:p w:rsidR="00271ED2" w:rsidRDefault="001964DF">
            <w:r>
              <w:t>C. Peer pressure</w:t>
            </w:r>
          </w:p>
        </w:tc>
        <w:tc>
          <w:tcPr>
            <w:tcW w:w="5665" w:type="dxa"/>
          </w:tcPr>
          <w:p w:rsidR="00271ED2" w:rsidRDefault="001964DF">
            <w:r>
              <w:t>Important so that areas know how they are performing relative to others, and that within organizations people are working together to improve their organization’s performance.</w:t>
            </w:r>
          </w:p>
        </w:tc>
      </w:tr>
      <w:tr w:rsidR="00271ED2" w:rsidTr="00271ED2">
        <w:tc>
          <w:tcPr>
            <w:tcW w:w="3397" w:type="dxa"/>
          </w:tcPr>
          <w:p w:rsidR="00271ED2" w:rsidRDefault="001964DF">
            <w:r>
              <w:t>D. External policy and incentives</w:t>
            </w:r>
          </w:p>
        </w:tc>
        <w:tc>
          <w:tcPr>
            <w:tcW w:w="5665" w:type="dxa"/>
          </w:tcPr>
          <w:p w:rsidR="00271ED2" w:rsidRDefault="001964DF">
            <w:r>
              <w:t>Critical. First, there needs to be adequate investment in colonoscopy capacity and support staff. Second, KPNC has traditionally given areas a financial reward for meeting CRC screening targets, but not specifically for the follow-up of FIT. This may create incentives to distribute FIT without worrying about the impact of a positive test.</w:t>
            </w:r>
          </w:p>
        </w:tc>
      </w:tr>
    </w:tbl>
    <w:p w:rsidR="00271ED2" w:rsidRDefault="00271ED2"/>
    <w:p w:rsidR="00271ED2" w:rsidRDefault="001964DF">
      <w:r>
        <w:t>With my work, I am hoping to identify practices that could be spread to other KPNC centers. We can think of that using diffusion of innovations</w:t>
      </w:r>
      <w:r w:rsidR="00417D11">
        <w:t>, which overlaps considerably with the Innovation domain of CFIR</w:t>
      </w:r>
      <w:r>
        <w:t>:</w:t>
      </w:r>
    </w:p>
    <w:tbl>
      <w:tblPr>
        <w:tblStyle w:val="TableGrid"/>
        <w:tblW w:w="0" w:type="auto"/>
        <w:tblLook w:val="04A0" w:firstRow="1" w:lastRow="0" w:firstColumn="1" w:lastColumn="0" w:noHBand="0" w:noVBand="1"/>
      </w:tblPr>
      <w:tblGrid>
        <w:gridCol w:w="2263"/>
        <w:gridCol w:w="6663"/>
      </w:tblGrid>
      <w:tr w:rsidR="001964DF" w:rsidTr="00BD69E6">
        <w:tc>
          <w:tcPr>
            <w:tcW w:w="2263" w:type="dxa"/>
          </w:tcPr>
          <w:p w:rsidR="001964DF" w:rsidRDefault="001964DF">
            <w:r>
              <w:t>Attribute</w:t>
            </w:r>
          </w:p>
        </w:tc>
        <w:tc>
          <w:tcPr>
            <w:tcW w:w="6663" w:type="dxa"/>
          </w:tcPr>
          <w:p w:rsidR="001964DF" w:rsidRDefault="001964DF">
            <w:r>
              <w:t>Characteristic of interventions that we hope to find</w:t>
            </w:r>
          </w:p>
        </w:tc>
      </w:tr>
      <w:tr w:rsidR="001964DF" w:rsidTr="00BD69E6">
        <w:tc>
          <w:tcPr>
            <w:tcW w:w="2263" w:type="dxa"/>
          </w:tcPr>
          <w:p w:rsidR="001964DF" w:rsidRDefault="001964DF">
            <w:r>
              <w:t>Relative advantage</w:t>
            </w:r>
          </w:p>
        </w:tc>
        <w:tc>
          <w:tcPr>
            <w:tcW w:w="6663" w:type="dxa"/>
          </w:tcPr>
          <w:p w:rsidR="001964DF" w:rsidRDefault="001964DF">
            <w:r>
              <w:t xml:space="preserve">Using statistical analyses, we hope to show that high-performing areas that use </w:t>
            </w:r>
            <w:r w:rsidR="00BD69E6">
              <w:t>certain interventions have higher rates of colonoscopy among patients with positive FIT</w:t>
            </w:r>
          </w:p>
        </w:tc>
      </w:tr>
      <w:tr w:rsidR="001964DF" w:rsidTr="00BD69E6">
        <w:tc>
          <w:tcPr>
            <w:tcW w:w="2263" w:type="dxa"/>
          </w:tcPr>
          <w:p w:rsidR="001964DF" w:rsidRDefault="001964DF">
            <w:r>
              <w:t>Compatibility</w:t>
            </w:r>
          </w:p>
        </w:tc>
        <w:tc>
          <w:tcPr>
            <w:tcW w:w="6663" w:type="dxa"/>
          </w:tcPr>
          <w:p w:rsidR="001964DF" w:rsidRDefault="00BD69E6">
            <w:r>
              <w:t>We hope to find practices are already being used in high-performing areas, which should make them compatible and relevant within KPNC</w:t>
            </w:r>
          </w:p>
        </w:tc>
      </w:tr>
      <w:tr w:rsidR="001964DF" w:rsidTr="00BD69E6">
        <w:tc>
          <w:tcPr>
            <w:tcW w:w="2263" w:type="dxa"/>
          </w:tcPr>
          <w:p w:rsidR="001964DF" w:rsidRDefault="001964DF">
            <w:r>
              <w:t>Complexity</w:t>
            </w:r>
          </w:p>
        </w:tc>
        <w:tc>
          <w:tcPr>
            <w:tcW w:w="6663" w:type="dxa"/>
          </w:tcPr>
          <w:p w:rsidR="001964DF" w:rsidRDefault="00BD69E6">
            <w:r>
              <w:t>Keeping this in mind, we should highlight relatively simple interventions. Possibilities could be tracking what time of day patients have not answered the phone, or changing the language of the template letter sent to non-responder patients</w:t>
            </w:r>
          </w:p>
        </w:tc>
      </w:tr>
      <w:tr w:rsidR="001964DF" w:rsidTr="00BD69E6">
        <w:tc>
          <w:tcPr>
            <w:tcW w:w="2263" w:type="dxa"/>
          </w:tcPr>
          <w:p w:rsidR="001964DF" w:rsidRDefault="001964DF">
            <w:r>
              <w:t>Trialability</w:t>
            </w:r>
          </w:p>
        </w:tc>
        <w:tc>
          <w:tcPr>
            <w:tcW w:w="6663" w:type="dxa"/>
          </w:tcPr>
          <w:p w:rsidR="001964DF" w:rsidRDefault="00BD69E6">
            <w:r>
              <w:t xml:space="preserve">This could be difficult, especially for relatively complex interventions like augmenting support staff or </w:t>
            </w:r>
            <w:r w:rsidR="005A29BA">
              <w:t>increasing colonoscopy availability. Solutions could be to provide temporary, additional funding for such initiatives.</w:t>
            </w:r>
          </w:p>
        </w:tc>
      </w:tr>
      <w:tr w:rsidR="001964DF" w:rsidTr="00BD69E6">
        <w:tc>
          <w:tcPr>
            <w:tcW w:w="2263" w:type="dxa"/>
          </w:tcPr>
          <w:p w:rsidR="001964DF" w:rsidRDefault="001964DF">
            <w:r>
              <w:t>Observability</w:t>
            </w:r>
          </w:p>
        </w:tc>
        <w:tc>
          <w:tcPr>
            <w:tcW w:w="6663" w:type="dxa"/>
          </w:tcPr>
          <w:p w:rsidR="001964DF" w:rsidRDefault="00BD69E6">
            <w:r>
              <w:t xml:space="preserve">Again, by using practices already in use, observability should not be </w:t>
            </w:r>
            <w:r w:rsidR="00D911B3">
              <w:t xml:space="preserve">less of </w:t>
            </w:r>
            <w:bookmarkStart w:id="0" w:name="_GoBack"/>
            <w:bookmarkEnd w:id="0"/>
            <w:r>
              <w:t>a problem.</w:t>
            </w:r>
          </w:p>
        </w:tc>
      </w:tr>
    </w:tbl>
    <w:p w:rsidR="00417D11" w:rsidRDefault="00417D11"/>
    <w:p w:rsidR="00417D11" w:rsidRDefault="00417D11">
      <w:r>
        <w:t>Though the CFIR is daunting, I can see that it could have the benefit of allowing me to have a global perspective up front. Both for my current work of identifying barriers to follow-up and areas of variation, and later work of transforming findings into potential best practices / innovations for diffusion.</w:t>
      </w:r>
      <w:r w:rsidR="00D911B3">
        <w:t xml:space="preserve"> However, most existing literature in my area doesn’t use theory, so it feels difficult to contextualize or verify my initial ideas above.</w:t>
      </w:r>
    </w:p>
    <w:p w:rsidR="00417D11" w:rsidRDefault="00417D11">
      <w:r>
        <w:t xml:space="preserve">I also found this article on using positive deviance very helpful, even if it is not a framework: </w:t>
      </w:r>
      <w:hyperlink r:id="rId4" w:history="1">
        <w:r w:rsidRPr="00A13DF3">
          <w:rPr>
            <w:rStyle w:val="Hyperlink"/>
          </w:rPr>
          <w:t>https://implementationscience.biomedcentral.com/articles/10.1186/1748-5908-4-25</w:t>
        </w:r>
      </w:hyperlink>
      <w:r>
        <w:t xml:space="preserve"> </w:t>
      </w:r>
    </w:p>
    <w:sectPr w:rsidR="00417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32"/>
    <w:rsid w:val="000B50A8"/>
    <w:rsid w:val="00106EB0"/>
    <w:rsid w:val="001964DF"/>
    <w:rsid w:val="002201E1"/>
    <w:rsid w:val="00271ED2"/>
    <w:rsid w:val="0032405A"/>
    <w:rsid w:val="00417D11"/>
    <w:rsid w:val="0047483D"/>
    <w:rsid w:val="004A3432"/>
    <w:rsid w:val="005A29BA"/>
    <w:rsid w:val="00663C42"/>
    <w:rsid w:val="007E10C5"/>
    <w:rsid w:val="00880DA4"/>
    <w:rsid w:val="00BD69E6"/>
    <w:rsid w:val="00CF17CD"/>
    <w:rsid w:val="00D911B3"/>
    <w:rsid w:val="00DD0408"/>
    <w:rsid w:val="00E21473"/>
    <w:rsid w:val="00E43F62"/>
    <w:rsid w:val="00EA36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EDF8"/>
  <w15:chartTrackingRefBased/>
  <w15:docId w15:val="{D2558B21-70B9-40A9-8447-D8C54F90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
    <w:name w:val="STATA"/>
    <w:qFormat/>
    <w:rsid w:val="00106EB0"/>
    <w:pPr>
      <w:spacing w:after="200"/>
      <w:ind w:left="720"/>
      <w:contextualSpacing/>
    </w:pPr>
    <w:rPr>
      <w:rFonts w:ascii="Courier New" w:eastAsia="Times New Roman" w:hAnsi="Courier New" w:cs="Courier New"/>
      <w:sz w:val="16"/>
      <w:szCs w:val="24"/>
      <w:lang w:val="en-US"/>
    </w:rPr>
  </w:style>
  <w:style w:type="table" w:styleId="ColorfulList-Accent1">
    <w:name w:val="Colorful List Accent 1"/>
    <w:basedOn w:val="TableNormal"/>
    <w:uiPriority w:val="72"/>
    <w:semiHidden/>
    <w:unhideWhenUsed/>
    <w:rsid w:val="00106EB0"/>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TableGrid">
    <w:name w:val="Table Grid"/>
    <w:basedOn w:val="TableNormal"/>
    <w:uiPriority w:val="39"/>
    <w:rsid w:val="0027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D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mplementationscience.biomedcentral.com/articles/10.1186/1748-5908-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Selby</dc:creator>
  <cp:keywords/>
  <dc:description/>
  <cp:lastModifiedBy>Kevin Selby</cp:lastModifiedBy>
  <cp:revision>7</cp:revision>
  <dcterms:created xsi:type="dcterms:W3CDTF">2017-04-07T17:55:00Z</dcterms:created>
  <dcterms:modified xsi:type="dcterms:W3CDTF">2017-04-14T22:20:00Z</dcterms:modified>
</cp:coreProperties>
</file>