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7A20C" w14:textId="77777777" w:rsidR="00841616" w:rsidRPr="002A7A42" w:rsidRDefault="0029711E">
      <w:pPr>
        <w:rPr>
          <w:rFonts w:ascii="Times New Roman" w:hAnsi="Times New Roman" w:cs="Times New Roman"/>
        </w:rPr>
      </w:pPr>
      <w:r w:rsidRPr="002A7A42">
        <w:rPr>
          <w:rFonts w:ascii="Times New Roman" w:hAnsi="Times New Roman" w:cs="Times New Roman"/>
        </w:rPr>
        <w:t>The gap</w:t>
      </w:r>
    </w:p>
    <w:p w14:paraId="687065AC" w14:textId="2035D4C8" w:rsidR="0029711E" w:rsidRPr="002A7A42" w:rsidRDefault="0029711E" w:rsidP="002A7A42">
      <w:pPr>
        <w:spacing w:before="120" w:after="120"/>
        <w:rPr>
          <w:rFonts w:ascii="Times New Roman" w:hAnsi="Times New Roman" w:cs="Times New Roman"/>
        </w:rPr>
      </w:pPr>
      <w:r w:rsidRPr="002A7A42">
        <w:rPr>
          <w:rFonts w:ascii="Times New Roman" w:hAnsi="Times New Roman" w:cs="Times New Roman"/>
        </w:rPr>
        <w:t>In 1998</w:t>
      </w:r>
      <w:r w:rsidR="005062AF" w:rsidRPr="002A7A42">
        <w:rPr>
          <w:rFonts w:ascii="Times New Roman" w:hAnsi="Times New Roman" w:cs="Times New Roman"/>
        </w:rPr>
        <w:t xml:space="preserve"> a physician running an obesity reduction</w:t>
      </w:r>
      <w:r w:rsidRPr="002A7A42">
        <w:rPr>
          <w:rFonts w:ascii="Times New Roman" w:hAnsi="Times New Roman" w:cs="Times New Roman"/>
        </w:rPr>
        <w:t xml:space="preserve"> program at a San Diego Kaiser Permanente medical center in collaboration with an epidemiologist from CDC published a groundbreaking study in which t</w:t>
      </w:r>
      <w:r w:rsidR="008E378A" w:rsidRPr="002A7A42">
        <w:rPr>
          <w:rFonts w:ascii="Times New Roman" w:hAnsi="Times New Roman" w:cs="Times New Roman"/>
        </w:rPr>
        <w:t>hey found that patients who had</w:t>
      </w:r>
      <w:r w:rsidRPr="002A7A42">
        <w:rPr>
          <w:rFonts w:ascii="Times New Roman" w:hAnsi="Times New Roman" w:cs="Times New Roman"/>
        </w:rPr>
        <w:t xml:space="preserve"> been exposed to adverse childhood experiences such abuse, neglect, family dysfunc</w:t>
      </w:r>
      <w:r w:rsidR="008E378A" w:rsidRPr="002A7A42">
        <w:rPr>
          <w:rFonts w:ascii="Times New Roman" w:hAnsi="Times New Roman" w:cs="Times New Roman"/>
        </w:rPr>
        <w:t>tion, had a higher likelihood of</w:t>
      </w:r>
      <w:r w:rsidRPr="002A7A42">
        <w:rPr>
          <w:rFonts w:ascii="Times New Roman" w:hAnsi="Times New Roman" w:cs="Times New Roman"/>
        </w:rPr>
        <w:t xml:space="preserve"> developing chronic diseases, and even early death compared to their unexposed counterparts</w:t>
      </w:r>
      <w:r w:rsidR="00E77655" w:rsidRPr="002A7A42">
        <w:rPr>
          <w:rFonts w:ascii="Times New Roman" w:hAnsi="Times New Roman" w:cs="Times New Roman"/>
        </w:rPr>
        <w:t>. The study</w:t>
      </w:r>
      <w:r w:rsidR="005062AF" w:rsidRPr="002A7A42">
        <w:rPr>
          <w:rFonts w:ascii="Times New Roman" w:hAnsi="Times New Roman" w:cs="Times New Roman"/>
        </w:rPr>
        <w:t xml:space="preserve"> a</w:t>
      </w:r>
      <w:r w:rsidR="00E952C5" w:rsidRPr="002A7A42">
        <w:rPr>
          <w:rFonts w:ascii="Times New Roman" w:hAnsi="Times New Roman" w:cs="Times New Roman"/>
        </w:rPr>
        <w:t>l</w:t>
      </w:r>
      <w:r w:rsidR="005062AF" w:rsidRPr="002A7A42">
        <w:rPr>
          <w:rFonts w:ascii="Times New Roman" w:hAnsi="Times New Roman" w:cs="Times New Roman"/>
        </w:rPr>
        <w:t>s</w:t>
      </w:r>
      <w:r w:rsidR="008E378A" w:rsidRPr="002A7A42">
        <w:rPr>
          <w:rFonts w:ascii="Times New Roman" w:hAnsi="Times New Roman" w:cs="Times New Roman"/>
        </w:rPr>
        <w:t>o found that</w:t>
      </w:r>
      <w:r w:rsidR="005062AF" w:rsidRPr="002A7A42">
        <w:rPr>
          <w:rFonts w:ascii="Times New Roman" w:hAnsi="Times New Roman" w:cs="Times New Roman"/>
        </w:rPr>
        <w:t xml:space="preserve"> those adversities called ACEs, were not only common among the </w:t>
      </w:r>
      <w:r w:rsidR="008E378A" w:rsidRPr="002A7A42">
        <w:rPr>
          <w:rFonts w:ascii="Times New Roman" w:hAnsi="Times New Roman" w:cs="Times New Roman"/>
        </w:rPr>
        <w:t>study population, but that</w:t>
      </w:r>
      <w:r w:rsidR="005062AF" w:rsidRPr="002A7A42">
        <w:rPr>
          <w:rFonts w:ascii="Times New Roman" w:hAnsi="Times New Roman" w:cs="Times New Roman"/>
        </w:rPr>
        <w:t xml:space="preserve"> the more ACEs a patient has, the greater his or her odds of developing diseases</w:t>
      </w:r>
      <w:r w:rsidR="00E77655" w:rsidRPr="002A7A42">
        <w:rPr>
          <w:rFonts w:ascii="Times New Roman" w:hAnsi="Times New Roman" w:cs="Times New Roman"/>
        </w:rPr>
        <w:t xml:space="preserve"> </w:t>
      </w:r>
      <w:r w:rsidRPr="002A7A42">
        <w:rPr>
          <w:rFonts w:ascii="Times New Roman" w:hAnsi="Times New Roman" w:cs="Times New Roman"/>
        </w:rPr>
        <w:t>(</w:t>
      </w:r>
      <w:proofErr w:type="spellStart"/>
      <w:r w:rsidRPr="002A7A42">
        <w:rPr>
          <w:rFonts w:ascii="Times New Roman" w:hAnsi="Times New Roman" w:cs="Times New Roman"/>
        </w:rPr>
        <w:t>Felitti</w:t>
      </w:r>
      <w:proofErr w:type="spellEnd"/>
      <w:r w:rsidRPr="002A7A42">
        <w:rPr>
          <w:rFonts w:ascii="Times New Roman" w:hAnsi="Times New Roman" w:cs="Times New Roman"/>
        </w:rPr>
        <w:t xml:space="preserve"> et al. 1998). </w:t>
      </w:r>
      <w:r w:rsidR="00E77655" w:rsidRPr="002A7A42">
        <w:rPr>
          <w:rFonts w:ascii="Times New Roman" w:hAnsi="Times New Roman" w:cs="Times New Roman"/>
        </w:rPr>
        <w:t>Su</w:t>
      </w:r>
      <w:r w:rsidR="003A096D" w:rsidRPr="002A7A42">
        <w:rPr>
          <w:rFonts w:ascii="Times New Roman" w:hAnsi="Times New Roman" w:cs="Times New Roman"/>
        </w:rPr>
        <w:t>bsequent studies support those</w:t>
      </w:r>
      <w:r w:rsidR="00E77655" w:rsidRPr="002A7A42">
        <w:rPr>
          <w:rFonts w:ascii="Times New Roman" w:hAnsi="Times New Roman" w:cs="Times New Roman"/>
        </w:rPr>
        <w:t xml:space="preserve"> findings. </w:t>
      </w:r>
      <w:r w:rsidR="003A096D" w:rsidRPr="002A7A42">
        <w:rPr>
          <w:rFonts w:ascii="Times New Roman" w:hAnsi="Times New Roman" w:cs="Times New Roman"/>
        </w:rPr>
        <w:t>In a more recent and nationally representative sample across 10 states in the United States and the District of Columbia using data from the Behavioral Risk Factor Surveillance Survey (BRFSS</w:t>
      </w:r>
      <w:r w:rsidR="00481796" w:rsidRPr="002A7A42">
        <w:rPr>
          <w:rFonts w:ascii="Times New Roman" w:hAnsi="Times New Roman" w:cs="Times New Roman"/>
        </w:rPr>
        <w:t xml:space="preserve">), the authors </w:t>
      </w:r>
      <w:r w:rsidR="003A096D" w:rsidRPr="002A7A42">
        <w:rPr>
          <w:rFonts w:ascii="Times New Roman" w:hAnsi="Times New Roman" w:cs="Times New Roman"/>
        </w:rPr>
        <w:t>found that approximately two-thirds of adults reported at least one early life adversity (Gilbert et al., 2015).</w:t>
      </w:r>
    </w:p>
    <w:p w14:paraId="15169B7D" w14:textId="054BDE39" w:rsidR="00D03778" w:rsidRPr="002A7A42" w:rsidRDefault="00A10277" w:rsidP="002A7A42">
      <w:pPr>
        <w:spacing w:before="120" w:after="120"/>
        <w:rPr>
          <w:rFonts w:ascii="Times New Roman" w:hAnsi="Times New Roman" w:cs="Times New Roman"/>
        </w:rPr>
      </w:pPr>
      <w:r w:rsidRPr="002A7A42">
        <w:rPr>
          <w:rFonts w:ascii="Times New Roman" w:hAnsi="Times New Roman" w:cs="Times New Roman"/>
        </w:rPr>
        <w:t xml:space="preserve">Studies in children and adolescents also show similar patterns. For example in a multisite study of children exposed to or at risk for maltreatment, it was found that by age 6 children had an average ACE score of 1.94. Between ages 6 and 12, on average they accumulated an additional 1.53 ACE, and then between ages 12 to 16 another 1.15 (Thompson et al., 2014). </w:t>
      </w:r>
      <w:r w:rsidR="00DC16CF" w:rsidRPr="002A7A42">
        <w:rPr>
          <w:rFonts w:ascii="Times New Roman" w:hAnsi="Times New Roman" w:cs="Times New Roman"/>
        </w:rPr>
        <w:t>Conditions observed among those exposed range from poor physical health</w:t>
      </w:r>
      <w:r w:rsidR="008E378A" w:rsidRPr="002A7A42">
        <w:rPr>
          <w:rFonts w:ascii="Times New Roman" w:hAnsi="Times New Roman" w:cs="Times New Roman"/>
        </w:rPr>
        <w:t xml:space="preserve"> such as</w:t>
      </w:r>
      <w:r w:rsidR="0036728D" w:rsidRPr="002A7A42">
        <w:rPr>
          <w:rFonts w:ascii="Times New Roman" w:hAnsi="Times New Roman" w:cs="Times New Roman"/>
        </w:rPr>
        <w:t xml:space="preserve"> asthma and obesity</w:t>
      </w:r>
      <w:r w:rsidR="00DC16CF" w:rsidRPr="002A7A42">
        <w:rPr>
          <w:rFonts w:ascii="Times New Roman" w:hAnsi="Times New Roman" w:cs="Times New Roman"/>
        </w:rPr>
        <w:t xml:space="preserve">, to </w:t>
      </w:r>
      <w:r w:rsidR="0036728D" w:rsidRPr="002A7A42">
        <w:rPr>
          <w:rFonts w:ascii="Times New Roman" w:hAnsi="Times New Roman" w:cs="Times New Roman"/>
        </w:rPr>
        <w:t xml:space="preserve">violent behaviors, and learning difficulties. </w:t>
      </w:r>
      <w:r w:rsidRPr="002A7A42">
        <w:rPr>
          <w:rFonts w:ascii="Times New Roman" w:hAnsi="Times New Roman" w:cs="Times New Roman"/>
        </w:rPr>
        <w:t>The gradual accumulation of ACEs suggests that there is an opportunity to identify children at risk for accumulating ACEs and the negative health outcomes associated with them. To identify those at risk, it is important to screen. In the AAP policy statement, “Early Childhood Adversity, Toxic Stress, and the Role of the Pediatrician: Translating Developmental Science into Lifelong Health, ” the AAP explicitly calls on pediatricians to “actively screen in their particular practices” (Garner et al., 2011, p. e299).</w:t>
      </w:r>
      <w:r w:rsidR="00D03778" w:rsidRPr="002A7A42">
        <w:rPr>
          <w:rFonts w:ascii="Times New Roman" w:hAnsi="Times New Roman" w:cs="Times New Roman"/>
        </w:rPr>
        <w:t xml:space="preserve"> </w:t>
      </w:r>
    </w:p>
    <w:p w14:paraId="015422B3" w14:textId="7A4B803F" w:rsidR="00723D1C" w:rsidRPr="002A7A42" w:rsidRDefault="00DC16CF" w:rsidP="002A7A42">
      <w:pPr>
        <w:spacing w:before="120" w:after="120"/>
        <w:rPr>
          <w:rFonts w:ascii="Times New Roman" w:hAnsi="Times New Roman" w:cs="Times New Roman"/>
        </w:rPr>
      </w:pPr>
      <w:r w:rsidRPr="002A7A42">
        <w:rPr>
          <w:rFonts w:ascii="Times New Roman" w:hAnsi="Times New Roman" w:cs="Times New Roman"/>
        </w:rPr>
        <w:t xml:space="preserve">A </w:t>
      </w:r>
      <w:r w:rsidR="008E378A" w:rsidRPr="002A7A42">
        <w:rPr>
          <w:rFonts w:ascii="Times New Roman" w:hAnsi="Times New Roman" w:cs="Times New Roman"/>
        </w:rPr>
        <w:t>recent study at a primary care clinic in Napa, CA. found that</w:t>
      </w:r>
      <w:r w:rsidRPr="002A7A42">
        <w:rPr>
          <w:rFonts w:ascii="Times New Roman" w:hAnsi="Times New Roman" w:cs="Times New Roman"/>
        </w:rPr>
        <w:t xml:space="preserve"> </w:t>
      </w:r>
      <w:r w:rsidR="00D03778" w:rsidRPr="002A7A42">
        <w:rPr>
          <w:rFonts w:ascii="Times New Roman" w:hAnsi="Times New Roman" w:cs="Times New Roman"/>
        </w:rPr>
        <w:t xml:space="preserve">patients </w:t>
      </w:r>
      <w:r w:rsidRPr="002A7A42">
        <w:rPr>
          <w:rFonts w:ascii="Times New Roman" w:hAnsi="Times New Roman" w:cs="Times New Roman"/>
        </w:rPr>
        <w:t>were agreeable</w:t>
      </w:r>
      <w:r w:rsidR="00723D1C" w:rsidRPr="002A7A42">
        <w:rPr>
          <w:rFonts w:ascii="Times New Roman" w:hAnsi="Times New Roman" w:cs="Times New Roman"/>
        </w:rPr>
        <w:t xml:space="preserve"> to take the ACEs screen and were</w:t>
      </w:r>
      <w:r w:rsidRPr="002A7A42">
        <w:rPr>
          <w:rFonts w:ascii="Times New Roman" w:hAnsi="Times New Roman" w:cs="Times New Roman"/>
        </w:rPr>
        <w:t xml:space="preserve"> favorable at discussing their ACEs with their providers. The authors concluded that a universal screening for ACEs would allow providers to better serve their patients’ health care needs (Goldstein E. 2017). Another pilot study conducted by a consortium researchers found similar results (unpublished data. 2016).</w:t>
      </w:r>
    </w:p>
    <w:p w14:paraId="52175B20" w14:textId="52F10CE2" w:rsidR="00DC16CF" w:rsidRDefault="00DC16CF">
      <w:pPr>
        <w:rPr>
          <w:rFonts w:ascii="Times New Roman" w:hAnsi="Times New Roman" w:cs="Times New Roman"/>
        </w:rPr>
      </w:pPr>
      <w:r w:rsidRPr="002A7A42">
        <w:rPr>
          <w:rFonts w:ascii="Times New Roman" w:hAnsi="Times New Roman" w:cs="Times New Roman"/>
        </w:rPr>
        <w:t xml:space="preserve">Even </w:t>
      </w:r>
      <w:r w:rsidR="008E378A" w:rsidRPr="002A7A42">
        <w:rPr>
          <w:rFonts w:ascii="Times New Roman" w:hAnsi="Times New Roman" w:cs="Times New Roman"/>
        </w:rPr>
        <w:t xml:space="preserve">though </w:t>
      </w:r>
      <w:r w:rsidRPr="002A7A42">
        <w:rPr>
          <w:rFonts w:ascii="Times New Roman" w:hAnsi="Times New Roman" w:cs="Times New Roman"/>
        </w:rPr>
        <w:t>the first study</w:t>
      </w:r>
      <w:r w:rsidR="0036728D" w:rsidRPr="002A7A42">
        <w:rPr>
          <w:rFonts w:ascii="Times New Roman" w:hAnsi="Times New Roman" w:cs="Times New Roman"/>
        </w:rPr>
        <w:t xml:space="preserve"> to link </w:t>
      </w:r>
      <w:r w:rsidR="008E378A" w:rsidRPr="002A7A42">
        <w:rPr>
          <w:rFonts w:ascii="Times New Roman" w:hAnsi="Times New Roman" w:cs="Times New Roman"/>
        </w:rPr>
        <w:t>adverse childhood experiences or ACEs</w:t>
      </w:r>
      <w:r w:rsidR="0036728D" w:rsidRPr="002A7A42">
        <w:rPr>
          <w:rFonts w:ascii="Times New Roman" w:hAnsi="Times New Roman" w:cs="Times New Roman"/>
        </w:rPr>
        <w:t xml:space="preserve"> </w:t>
      </w:r>
      <w:r w:rsidRPr="002A7A42">
        <w:rPr>
          <w:rFonts w:ascii="Times New Roman" w:hAnsi="Times New Roman" w:cs="Times New Roman"/>
        </w:rPr>
        <w:t xml:space="preserve">to </w:t>
      </w:r>
      <w:r w:rsidR="008E378A" w:rsidRPr="002A7A42">
        <w:rPr>
          <w:rFonts w:ascii="Times New Roman" w:hAnsi="Times New Roman" w:cs="Times New Roman"/>
        </w:rPr>
        <w:t>health outcomes was published in 1998, there still isn’t a standardized validated ACEs screening tool, and rare are the health care providers screening for ACEs.</w:t>
      </w:r>
    </w:p>
    <w:p w14:paraId="68B69CC3" w14:textId="77777777" w:rsidR="00C72F9B" w:rsidRDefault="00C72F9B">
      <w:pPr>
        <w:rPr>
          <w:rFonts w:ascii="Times New Roman" w:hAnsi="Times New Roman" w:cs="Times New Roman"/>
        </w:rPr>
      </w:pPr>
    </w:p>
    <w:p w14:paraId="437B3C26" w14:textId="69BF5625" w:rsidR="00BB35C0" w:rsidRDefault="00BB35C0">
      <w:pPr>
        <w:rPr>
          <w:rFonts w:ascii="Times New Roman" w:hAnsi="Times New Roman" w:cs="Times New Roman"/>
        </w:rPr>
      </w:pPr>
      <w:r>
        <w:rPr>
          <w:rFonts w:ascii="Times New Roman" w:hAnsi="Times New Roman" w:cs="Times New Roman"/>
        </w:rPr>
        <w:br w:type="page"/>
      </w:r>
    </w:p>
    <w:p w14:paraId="40A8D708" w14:textId="584F27F5" w:rsidR="00C72F9B" w:rsidRDefault="00C72F9B">
      <w:pPr>
        <w:rPr>
          <w:rFonts w:ascii="Times New Roman" w:hAnsi="Times New Roman" w:cs="Times New Roman"/>
        </w:rPr>
      </w:pPr>
      <w:r>
        <w:rPr>
          <w:rFonts w:ascii="Times New Roman" w:hAnsi="Times New Roman" w:cs="Times New Roman"/>
        </w:rPr>
        <w:lastRenderedPageBreak/>
        <w:t>The Gap analysis</w:t>
      </w:r>
    </w:p>
    <w:p w14:paraId="284E20DB" w14:textId="4DD52A27" w:rsidR="00C72F9B" w:rsidRDefault="00BB35C0">
      <w:pPr>
        <w:rPr>
          <w:rFonts w:ascii="Times New Roman" w:hAnsi="Times New Roman" w:cs="Times New Roman"/>
        </w:rPr>
      </w:pPr>
      <w:r>
        <w:rPr>
          <w:rFonts w:ascii="Times New Roman" w:hAnsi="Times New Roman" w:cs="Times New Roman"/>
        </w:rPr>
        <w:t xml:space="preserve">Research suggests that the onset of chronic disease in adults exposed to adverse childhood experiences </w:t>
      </w:r>
      <w:r w:rsidR="004D3A76">
        <w:rPr>
          <w:rFonts w:ascii="Times New Roman" w:hAnsi="Times New Roman" w:cs="Times New Roman"/>
        </w:rPr>
        <w:t xml:space="preserve">(ACEs) </w:t>
      </w:r>
      <w:r>
        <w:rPr>
          <w:rFonts w:ascii="Times New Roman" w:hAnsi="Times New Roman" w:cs="Times New Roman"/>
        </w:rPr>
        <w:t xml:space="preserve">such abuse, neglect and family dysfunction, is the result of the changes in many body systems due to the </w:t>
      </w:r>
      <w:proofErr w:type="spellStart"/>
      <w:r>
        <w:rPr>
          <w:rFonts w:ascii="Times New Roman" w:hAnsi="Times New Roman" w:cs="Times New Roman"/>
        </w:rPr>
        <w:t>dysregulated</w:t>
      </w:r>
      <w:proofErr w:type="spellEnd"/>
      <w:r>
        <w:rPr>
          <w:rFonts w:ascii="Times New Roman" w:hAnsi="Times New Roman" w:cs="Times New Roman"/>
        </w:rPr>
        <w:t xml:space="preserve"> stress response, a</w:t>
      </w:r>
      <w:r w:rsidR="004C611E">
        <w:rPr>
          <w:rFonts w:ascii="Times New Roman" w:hAnsi="Times New Roman" w:cs="Times New Roman"/>
        </w:rPr>
        <w:t xml:space="preserve"> phenomenon called toxic stress</w:t>
      </w:r>
      <w:r w:rsidR="007B5297">
        <w:rPr>
          <w:rFonts w:ascii="Times New Roman" w:hAnsi="Times New Roman" w:cs="Times New Roman"/>
        </w:rPr>
        <w:t xml:space="preserve"> (</w:t>
      </w:r>
      <w:proofErr w:type="spellStart"/>
      <w:r w:rsidR="007B5297">
        <w:rPr>
          <w:rFonts w:ascii="Times New Roman" w:hAnsi="Times New Roman" w:cs="Times New Roman"/>
        </w:rPr>
        <w:t>Shonkoff</w:t>
      </w:r>
      <w:proofErr w:type="spellEnd"/>
      <w:r w:rsidR="003F05AD">
        <w:rPr>
          <w:rFonts w:ascii="Times New Roman" w:hAnsi="Times New Roman" w:cs="Times New Roman"/>
        </w:rPr>
        <w:t>,</w:t>
      </w:r>
      <w:r w:rsidR="007B5297">
        <w:rPr>
          <w:rFonts w:ascii="Times New Roman" w:hAnsi="Times New Roman" w:cs="Times New Roman"/>
        </w:rPr>
        <w:t xml:space="preserve"> 2012)</w:t>
      </w:r>
      <w:r w:rsidR="004C611E">
        <w:rPr>
          <w:rFonts w:ascii="Times New Roman" w:hAnsi="Times New Roman" w:cs="Times New Roman"/>
        </w:rPr>
        <w:t xml:space="preserve">. This toxic stress resulting from the prolonged </w:t>
      </w:r>
      <w:r w:rsidR="007B5297">
        <w:rPr>
          <w:rFonts w:ascii="Times New Roman" w:hAnsi="Times New Roman" w:cs="Times New Roman"/>
        </w:rPr>
        <w:t>and/</w:t>
      </w:r>
      <w:r w:rsidR="004C611E">
        <w:rPr>
          <w:rFonts w:ascii="Times New Roman" w:hAnsi="Times New Roman" w:cs="Times New Roman"/>
        </w:rPr>
        <w:t xml:space="preserve">or frequent activation of the stress response, leads to changes in the </w:t>
      </w:r>
      <w:r w:rsidR="007B5297">
        <w:rPr>
          <w:rFonts w:ascii="Times New Roman" w:hAnsi="Times New Roman" w:cs="Times New Roman"/>
        </w:rPr>
        <w:t>architecture of the</w:t>
      </w:r>
      <w:r w:rsidR="00460851">
        <w:rPr>
          <w:rFonts w:ascii="Times New Roman" w:hAnsi="Times New Roman" w:cs="Times New Roman"/>
        </w:rPr>
        <w:t xml:space="preserve"> child’s</w:t>
      </w:r>
      <w:r w:rsidR="007B5297">
        <w:rPr>
          <w:rFonts w:ascii="Times New Roman" w:hAnsi="Times New Roman" w:cs="Times New Roman"/>
        </w:rPr>
        <w:t xml:space="preserve"> </w:t>
      </w:r>
      <w:r w:rsidR="00460851">
        <w:rPr>
          <w:rFonts w:ascii="Times New Roman" w:hAnsi="Times New Roman" w:cs="Times New Roman"/>
        </w:rPr>
        <w:t>developing brain</w:t>
      </w:r>
      <w:r w:rsidR="004C611E">
        <w:rPr>
          <w:rFonts w:ascii="Times New Roman" w:hAnsi="Times New Roman" w:cs="Times New Roman"/>
        </w:rPr>
        <w:t xml:space="preserve">, </w:t>
      </w:r>
      <w:r w:rsidR="007B5297">
        <w:rPr>
          <w:rFonts w:ascii="Times New Roman" w:hAnsi="Times New Roman" w:cs="Times New Roman"/>
        </w:rPr>
        <w:t xml:space="preserve">and </w:t>
      </w:r>
      <w:r w:rsidR="00706251">
        <w:rPr>
          <w:rFonts w:ascii="Times New Roman" w:hAnsi="Times New Roman" w:cs="Times New Roman"/>
        </w:rPr>
        <w:t xml:space="preserve">to </w:t>
      </w:r>
      <w:r w:rsidR="004C611E">
        <w:rPr>
          <w:rFonts w:ascii="Times New Roman" w:hAnsi="Times New Roman" w:cs="Times New Roman"/>
        </w:rPr>
        <w:t xml:space="preserve">biological embedding, thus </w:t>
      </w:r>
      <w:r w:rsidR="007B5297">
        <w:rPr>
          <w:rFonts w:ascii="Times New Roman" w:hAnsi="Times New Roman" w:cs="Times New Roman"/>
        </w:rPr>
        <w:t>affecting the long-term health of the individual (</w:t>
      </w:r>
      <w:proofErr w:type="spellStart"/>
      <w:r w:rsidR="007B5297">
        <w:rPr>
          <w:rFonts w:ascii="Times New Roman" w:hAnsi="Times New Roman" w:cs="Times New Roman"/>
        </w:rPr>
        <w:t>Shonkoff</w:t>
      </w:r>
      <w:proofErr w:type="spellEnd"/>
      <w:r w:rsidR="003F05AD">
        <w:rPr>
          <w:rFonts w:ascii="Times New Roman" w:hAnsi="Times New Roman" w:cs="Times New Roman"/>
        </w:rPr>
        <w:t>,</w:t>
      </w:r>
      <w:r w:rsidR="007B5297">
        <w:rPr>
          <w:rFonts w:ascii="Times New Roman" w:hAnsi="Times New Roman" w:cs="Times New Roman"/>
        </w:rPr>
        <w:t xml:space="preserve"> 2009). This </w:t>
      </w:r>
      <w:r w:rsidR="00460851">
        <w:rPr>
          <w:rFonts w:ascii="Times New Roman" w:hAnsi="Times New Roman" w:cs="Times New Roman"/>
        </w:rPr>
        <w:t xml:space="preserve">discovery suggests that there is a potential for intervening early to prevent or mitigate the effects of toxic stress. </w:t>
      </w:r>
      <w:r w:rsidR="005723EC">
        <w:rPr>
          <w:rFonts w:ascii="Times New Roman" w:hAnsi="Times New Roman" w:cs="Times New Roman"/>
        </w:rPr>
        <w:t>In order to do so, it is essential to identify children who are exposed, by screening f</w:t>
      </w:r>
      <w:r w:rsidR="004D3A76">
        <w:rPr>
          <w:rFonts w:ascii="Times New Roman" w:hAnsi="Times New Roman" w:cs="Times New Roman"/>
        </w:rPr>
        <w:t xml:space="preserve">or those childhood adversities. Pediatric primary care settings would be the ideal place to screen </w:t>
      </w:r>
      <w:proofErr w:type="gramStart"/>
      <w:r w:rsidR="004D3A76">
        <w:rPr>
          <w:rFonts w:ascii="Times New Roman" w:hAnsi="Times New Roman" w:cs="Times New Roman"/>
        </w:rPr>
        <w:t>children</w:t>
      </w:r>
      <w:proofErr w:type="gramEnd"/>
      <w:r w:rsidR="004D3A76">
        <w:rPr>
          <w:rFonts w:ascii="Times New Roman" w:hAnsi="Times New Roman" w:cs="Times New Roman"/>
        </w:rPr>
        <w:t xml:space="preserve"> who are exposed, to prevent further exposure, and to provide the necessary support to address the consequences of toxic stress. </w:t>
      </w:r>
    </w:p>
    <w:p w14:paraId="736C3332" w14:textId="3E173DBE" w:rsidR="00286CE9" w:rsidRDefault="003F05AD">
      <w:pPr>
        <w:rPr>
          <w:rFonts w:ascii="Times New Roman" w:hAnsi="Times New Roman" w:cs="Times New Roman"/>
        </w:rPr>
      </w:pPr>
      <w:r>
        <w:rPr>
          <w:rFonts w:ascii="Times New Roman" w:hAnsi="Times New Roman" w:cs="Times New Roman"/>
        </w:rPr>
        <w:t>P</w:t>
      </w:r>
      <w:r w:rsidR="004D3A76">
        <w:rPr>
          <w:rFonts w:ascii="Times New Roman" w:hAnsi="Times New Roman" w:cs="Times New Roman"/>
        </w:rPr>
        <w:t>ediatric home is thought to be the ideal setting for screening for ACEs because of the trust that fami</w:t>
      </w:r>
      <w:r>
        <w:rPr>
          <w:rFonts w:ascii="Times New Roman" w:hAnsi="Times New Roman" w:cs="Times New Roman"/>
        </w:rPr>
        <w:t>lies put on their pediatricians</w:t>
      </w:r>
      <w:r w:rsidR="000D24BB">
        <w:rPr>
          <w:rFonts w:ascii="Times New Roman" w:hAnsi="Times New Roman" w:cs="Times New Roman"/>
        </w:rPr>
        <w:t xml:space="preserve">; however, very rare are pediatricians who are screening for ACEs. </w:t>
      </w:r>
      <w:r>
        <w:rPr>
          <w:rFonts w:ascii="Times New Roman" w:hAnsi="Times New Roman" w:cs="Times New Roman"/>
        </w:rPr>
        <w:t>Studies assessing</w:t>
      </w:r>
      <w:r w:rsidR="00706251">
        <w:rPr>
          <w:rFonts w:ascii="Times New Roman" w:hAnsi="Times New Roman" w:cs="Times New Roman"/>
        </w:rPr>
        <w:t xml:space="preserve"> the caregivers’ attitudes toward</w:t>
      </w:r>
      <w:r>
        <w:rPr>
          <w:rFonts w:ascii="Times New Roman" w:hAnsi="Times New Roman" w:cs="Times New Roman"/>
        </w:rPr>
        <w:t xml:space="preserve"> screening</w:t>
      </w:r>
      <w:r w:rsidR="004D3A76">
        <w:rPr>
          <w:rFonts w:ascii="Times New Roman" w:hAnsi="Times New Roman" w:cs="Times New Roman"/>
        </w:rPr>
        <w:t xml:space="preserve"> </w:t>
      </w:r>
      <w:r>
        <w:rPr>
          <w:rFonts w:ascii="Times New Roman" w:hAnsi="Times New Roman" w:cs="Times New Roman"/>
        </w:rPr>
        <w:t>showed that they are agreeable to responding to the screen and confortable at discussing their exposure to trauma with their providers (Goldstein E.</w:t>
      </w:r>
      <w:r w:rsidR="00706251">
        <w:rPr>
          <w:rFonts w:ascii="Times New Roman" w:hAnsi="Times New Roman" w:cs="Times New Roman"/>
        </w:rPr>
        <w:t xml:space="preserve"> </w:t>
      </w:r>
      <w:r>
        <w:rPr>
          <w:rFonts w:ascii="Times New Roman" w:hAnsi="Times New Roman" w:cs="Times New Roman"/>
        </w:rPr>
        <w:t xml:space="preserve">2017). Caregivers feel that they can get the help they need if their providers know about their trauma (unpublished data). While caregivers are willing to be screened and to discuss their trauma with their pediatricians, </w:t>
      </w:r>
      <w:r w:rsidR="004D3A76">
        <w:rPr>
          <w:rFonts w:ascii="Times New Roman" w:hAnsi="Times New Roman" w:cs="Times New Roman"/>
        </w:rPr>
        <w:t xml:space="preserve">providers themselves don’t feel adequately equipped to address </w:t>
      </w:r>
      <w:r>
        <w:rPr>
          <w:rFonts w:ascii="Times New Roman" w:hAnsi="Times New Roman" w:cs="Times New Roman"/>
        </w:rPr>
        <w:t xml:space="preserve">such a sensitive topic as </w:t>
      </w:r>
      <w:r w:rsidR="00706251">
        <w:rPr>
          <w:rFonts w:ascii="Times New Roman" w:hAnsi="Times New Roman" w:cs="Times New Roman"/>
        </w:rPr>
        <w:t>ACEs. One issue that comes up often</w:t>
      </w:r>
      <w:r>
        <w:rPr>
          <w:rFonts w:ascii="Times New Roman" w:hAnsi="Times New Roman" w:cs="Times New Roman"/>
        </w:rPr>
        <w:t xml:space="preserve"> is the time pressure. Most pediatricians have only 15 min to spend on a patient. Screening and dis</w:t>
      </w:r>
      <w:r w:rsidR="00706251">
        <w:rPr>
          <w:rFonts w:ascii="Times New Roman" w:hAnsi="Times New Roman" w:cs="Times New Roman"/>
        </w:rPr>
        <w:t>cussing ACEs mean increasing</w:t>
      </w:r>
      <w:r>
        <w:rPr>
          <w:rFonts w:ascii="Times New Roman" w:hAnsi="Times New Roman" w:cs="Times New Roman"/>
        </w:rPr>
        <w:t xml:space="preserve"> demand in </w:t>
      </w:r>
      <w:r w:rsidR="00C25BB3">
        <w:rPr>
          <w:rFonts w:ascii="Times New Roman" w:hAnsi="Times New Roman" w:cs="Times New Roman"/>
        </w:rPr>
        <w:t xml:space="preserve">time. Also, they don’t feel that they have </w:t>
      </w:r>
      <w:proofErr w:type="gramStart"/>
      <w:r w:rsidR="00C25BB3">
        <w:rPr>
          <w:rFonts w:ascii="Times New Roman" w:hAnsi="Times New Roman" w:cs="Times New Roman"/>
        </w:rPr>
        <w:t>the expertize</w:t>
      </w:r>
      <w:proofErr w:type="gramEnd"/>
      <w:r w:rsidR="00C25BB3">
        <w:rPr>
          <w:rFonts w:ascii="Times New Roman" w:hAnsi="Times New Roman" w:cs="Times New Roman"/>
        </w:rPr>
        <w:t xml:space="preserve"> to adequately address cas</w:t>
      </w:r>
      <w:r w:rsidR="00706251">
        <w:rPr>
          <w:rFonts w:ascii="Times New Roman" w:hAnsi="Times New Roman" w:cs="Times New Roman"/>
        </w:rPr>
        <w:t>es in case of positive response. F</w:t>
      </w:r>
      <w:r w:rsidR="00C25BB3">
        <w:rPr>
          <w:rFonts w:ascii="Times New Roman" w:hAnsi="Times New Roman" w:cs="Times New Roman"/>
        </w:rPr>
        <w:t>or example they are not trained in mental health. In addition, there is the mandated reporting that all clinicians are subject to, which is a</w:t>
      </w:r>
      <w:r w:rsidR="00706251">
        <w:rPr>
          <w:rFonts w:ascii="Times New Roman" w:hAnsi="Times New Roman" w:cs="Times New Roman"/>
        </w:rPr>
        <w:t>n</w:t>
      </w:r>
      <w:r w:rsidR="00C25BB3">
        <w:rPr>
          <w:rFonts w:ascii="Times New Roman" w:hAnsi="Times New Roman" w:cs="Times New Roman"/>
        </w:rPr>
        <w:t xml:space="preserve"> apprehensive factor from both providers and caregivers. Furthermore, there is the vicarious trauma; many providers are not equipped at addressing their own feelings when discussing patients’. </w:t>
      </w:r>
      <w:r w:rsidR="008E13BE">
        <w:rPr>
          <w:rFonts w:ascii="Times New Roman" w:hAnsi="Times New Roman" w:cs="Times New Roman"/>
        </w:rPr>
        <w:t>All these factors can contribute to pediatricians’ reticence toward screening for ACEs.</w:t>
      </w:r>
    </w:p>
    <w:p w14:paraId="09044E1C" w14:textId="77777777" w:rsidR="00286CE9" w:rsidRDefault="00286CE9">
      <w:pPr>
        <w:rPr>
          <w:rFonts w:ascii="Times New Roman" w:hAnsi="Times New Roman" w:cs="Times New Roman"/>
        </w:rPr>
      </w:pPr>
    </w:p>
    <w:p w14:paraId="2995FBE4" w14:textId="77777777" w:rsidR="00C972F3" w:rsidRPr="00706251" w:rsidRDefault="00286CE9">
      <w:pPr>
        <w:rPr>
          <w:rFonts w:ascii="Times New Roman" w:hAnsi="Times New Roman" w:cs="Times New Roman"/>
          <w:b/>
        </w:rPr>
      </w:pPr>
      <w:r w:rsidRPr="00706251">
        <w:rPr>
          <w:rFonts w:ascii="Times New Roman" w:hAnsi="Times New Roman" w:cs="Times New Roman"/>
          <w:b/>
        </w:rPr>
        <w:t>COM-B Analysis of the gap</w:t>
      </w:r>
    </w:p>
    <w:p w14:paraId="19C7911C" w14:textId="77777777" w:rsidR="00C972F3" w:rsidRDefault="00C972F3">
      <w:pPr>
        <w:rPr>
          <w:rFonts w:ascii="Times New Roman" w:hAnsi="Times New Roman" w:cs="Times New Roman"/>
        </w:rPr>
      </w:pPr>
    </w:p>
    <w:tbl>
      <w:tblPr>
        <w:tblStyle w:val="LightGrid"/>
        <w:tblW w:w="8921" w:type="dxa"/>
        <w:tblLook w:val="04A0" w:firstRow="1" w:lastRow="0" w:firstColumn="1" w:lastColumn="0" w:noHBand="0" w:noVBand="1"/>
      </w:tblPr>
      <w:tblGrid>
        <w:gridCol w:w="1818"/>
        <w:gridCol w:w="7103"/>
      </w:tblGrid>
      <w:tr w:rsidR="00C972F3" w14:paraId="7D344948" w14:textId="77777777" w:rsidTr="00706251">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8921" w:type="dxa"/>
            <w:gridSpan w:val="2"/>
          </w:tcPr>
          <w:p w14:paraId="13D395A6" w14:textId="48D462BF" w:rsidR="00C972F3" w:rsidRDefault="00C972F3" w:rsidP="00147E14">
            <w:pPr>
              <w:jc w:val="center"/>
              <w:rPr>
                <w:rFonts w:ascii="Times New Roman" w:hAnsi="Times New Roman" w:cs="Times New Roman"/>
              </w:rPr>
            </w:pPr>
            <w:r>
              <w:rPr>
                <w:rFonts w:ascii="Times New Roman" w:hAnsi="Times New Roman" w:cs="Times New Roman"/>
              </w:rPr>
              <w:t>Universal Screening for ACEs in Pediatric Primary Care</w:t>
            </w:r>
          </w:p>
        </w:tc>
      </w:tr>
      <w:tr w:rsidR="00C972F3" w14:paraId="1AEA6384" w14:textId="77777777" w:rsidTr="00B32639">
        <w:trPr>
          <w:cnfStyle w:val="000000100000" w:firstRow="0" w:lastRow="0" w:firstColumn="0" w:lastColumn="0" w:oddVBand="0" w:evenVBand="0" w:oddHBand="1" w:evenHBand="0" w:firstRowFirstColumn="0" w:firstRowLastColumn="0" w:lastRowFirstColumn="0" w:lastRowLastColumn="0"/>
          <w:trHeight w:val="817"/>
        </w:trPr>
        <w:tc>
          <w:tcPr>
            <w:cnfStyle w:val="001000000000" w:firstRow="0" w:lastRow="0" w:firstColumn="1" w:lastColumn="0" w:oddVBand="0" w:evenVBand="0" w:oddHBand="0" w:evenHBand="0" w:firstRowFirstColumn="0" w:firstRowLastColumn="0" w:lastRowFirstColumn="0" w:lastRowLastColumn="0"/>
            <w:tcW w:w="1818" w:type="dxa"/>
          </w:tcPr>
          <w:p w14:paraId="59EC47A4" w14:textId="400AC7E0" w:rsidR="00C972F3" w:rsidRDefault="00C972F3">
            <w:pPr>
              <w:rPr>
                <w:rFonts w:ascii="Times New Roman" w:hAnsi="Times New Roman" w:cs="Times New Roman"/>
              </w:rPr>
            </w:pPr>
            <w:r>
              <w:rPr>
                <w:rFonts w:ascii="Times New Roman" w:hAnsi="Times New Roman" w:cs="Times New Roman"/>
              </w:rPr>
              <w:t>Capacity</w:t>
            </w:r>
          </w:p>
        </w:tc>
        <w:tc>
          <w:tcPr>
            <w:tcW w:w="7103" w:type="dxa"/>
          </w:tcPr>
          <w:p w14:paraId="551FABDC" w14:textId="77777777" w:rsidR="00C972F3" w:rsidRDefault="00C972F3" w:rsidP="00C972F3">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Time pressure on pediatricians</w:t>
            </w:r>
          </w:p>
          <w:p w14:paraId="2084C283" w14:textId="2B7C831A" w:rsidR="00C972F3" w:rsidRDefault="00C972F3" w:rsidP="00C972F3">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Lack of knowledge and skills at discussing and addressing ACEs</w:t>
            </w:r>
          </w:p>
          <w:p w14:paraId="6E44A57A" w14:textId="77777777" w:rsidR="00C972F3" w:rsidRDefault="00C972F3" w:rsidP="00C972F3">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Concerns about </w:t>
            </w:r>
            <w:proofErr w:type="spellStart"/>
            <w:r>
              <w:rPr>
                <w:rFonts w:ascii="Times New Roman" w:hAnsi="Times New Roman" w:cs="Times New Roman"/>
              </w:rPr>
              <w:t>retraumatizing</w:t>
            </w:r>
            <w:proofErr w:type="spellEnd"/>
          </w:p>
          <w:p w14:paraId="607DD0FF" w14:textId="698ED585" w:rsidR="00C972F3" w:rsidRDefault="00C972F3" w:rsidP="00C972F3">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Lack integrated care, including support by mental and behavioral health clinicians for follow up.</w:t>
            </w:r>
          </w:p>
          <w:p w14:paraId="2E96D191" w14:textId="77777777" w:rsidR="00C972F3" w:rsidRDefault="00C972F3" w:rsidP="00C972F3">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Issue around mandated reporting</w:t>
            </w:r>
          </w:p>
          <w:p w14:paraId="58853B6A" w14:textId="18A56E9F" w:rsidR="00C972F3" w:rsidRPr="00C972F3" w:rsidRDefault="00C972F3" w:rsidP="00C972F3">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Vicarious trauma</w:t>
            </w:r>
          </w:p>
        </w:tc>
      </w:tr>
      <w:tr w:rsidR="00C972F3" w14:paraId="5D8180DF" w14:textId="77777777" w:rsidTr="00B32639">
        <w:trPr>
          <w:cnfStyle w:val="000000010000" w:firstRow="0" w:lastRow="0" w:firstColumn="0" w:lastColumn="0" w:oddVBand="0" w:evenVBand="0" w:oddHBand="0" w:evenHBand="1"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1818" w:type="dxa"/>
          </w:tcPr>
          <w:p w14:paraId="2CF875CD" w14:textId="6AF27FB7" w:rsidR="00C972F3" w:rsidRDefault="00C972F3">
            <w:pPr>
              <w:rPr>
                <w:rFonts w:ascii="Times New Roman" w:hAnsi="Times New Roman" w:cs="Times New Roman"/>
              </w:rPr>
            </w:pPr>
            <w:r>
              <w:rPr>
                <w:rFonts w:ascii="Times New Roman" w:hAnsi="Times New Roman" w:cs="Times New Roman"/>
              </w:rPr>
              <w:t>Opportunities</w:t>
            </w:r>
          </w:p>
        </w:tc>
        <w:tc>
          <w:tcPr>
            <w:tcW w:w="7103" w:type="dxa"/>
          </w:tcPr>
          <w:p w14:paraId="70F47C83" w14:textId="77777777" w:rsidR="00C972F3" w:rsidRDefault="00C972F3" w:rsidP="00C972F3">
            <w:pPr>
              <w:pStyle w:val="ListParagraph"/>
              <w:numPr>
                <w:ilvl w:val="0"/>
                <w:numId w:val="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 xml:space="preserve">Screen can be standardized </w:t>
            </w:r>
            <w:r w:rsidR="00B97D44">
              <w:rPr>
                <w:rFonts w:ascii="Times New Roman" w:hAnsi="Times New Roman" w:cs="Times New Roman"/>
              </w:rPr>
              <w:t>and administered with the usual developmental screens.</w:t>
            </w:r>
          </w:p>
          <w:p w14:paraId="1BE04264" w14:textId="77777777" w:rsidR="00B97D44" w:rsidRDefault="00B97D44" w:rsidP="00C972F3">
            <w:pPr>
              <w:pStyle w:val="ListParagraph"/>
              <w:numPr>
                <w:ilvl w:val="0"/>
                <w:numId w:val="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Training for providers on screening and discussing ACEs</w:t>
            </w:r>
          </w:p>
          <w:p w14:paraId="0F1C015C" w14:textId="77777777" w:rsidR="00B97D44" w:rsidRDefault="00B32639" w:rsidP="00C972F3">
            <w:pPr>
              <w:pStyle w:val="ListParagraph"/>
              <w:numPr>
                <w:ilvl w:val="0"/>
                <w:numId w:val="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Evidence based interventions</w:t>
            </w:r>
          </w:p>
          <w:p w14:paraId="52CC11D0" w14:textId="606A1C31" w:rsidR="00B32639" w:rsidRPr="00C972F3" w:rsidRDefault="00B32639" w:rsidP="00C972F3">
            <w:pPr>
              <w:pStyle w:val="ListParagraph"/>
              <w:numPr>
                <w:ilvl w:val="0"/>
                <w:numId w:val="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Pr>
                <w:rFonts w:ascii="Times New Roman" w:hAnsi="Times New Roman" w:cs="Times New Roman"/>
              </w:rPr>
              <w:t>Integration of care (mental health clinicians working in teams with pediatricians.</w:t>
            </w:r>
          </w:p>
        </w:tc>
      </w:tr>
      <w:tr w:rsidR="00C972F3" w14:paraId="3FAF382C" w14:textId="77777777" w:rsidTr="00B32639">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1818" w:type="dxa"/>
          </w:tcPr>
          <w:p w14:paraId="4C39D82F" w14:textId="406CCF42" w:rsidR="00C972F3" w:rsidRDefault="00C972F3">
            <w:pPr>
              <w:rPr>
                <w:rFonts w:ascii="Times New Roman" w:hAnsi="Times New Roman" w:cs="Times New Roman"/>
              </w:rPr>
            </w:pPr>
            <w:r>
              <w:rPr>
                <w:rFonts w:ascii="Times New Roman" w:hAnsi="Times New Roman" w:cs="Times New Roman"/>
              </w:rPr>
              <w:t>Motivation</w:t>
            </w:r>
          </w:p>
        </w:tc>
        <w:tc>
          <w:tcPr>
            <w:tcW w:w="7103" w:type="dxa"/>
          </w:tcPr>
          <w:p w14:paraId="4058F6C2" w14:textId="77777777" w:rsidR="00C972F3" w:rsidRDefault="00B32639" w:rsidP="00B32639">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AAP endorsement</w:t>
            </w:r>
          </w:p>
          <w:p w14:paraId="6E999C32" w14:textId="77777777" w:rsidR="00B32639" w:rsidRDefault="00B32639" w:rsidP="00B32639">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Peer pressure</w:t>
            </w:r>
          </w:p>
          <w:p w14:paraId="2E2BBDE6" w14:textId="77777777" w:rsidR="00B32639" w:rsidRDefault="00B32639" w:rsidP="00B32639">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Data on caregivers willingness to</w:t>
            </w:r>
            <w:r w:rsidR="00553F20">
              <w:rPr>
                <w:rFonts w:ascii="Times New Roman" w:hAnsi="Times New Roman" w:cs="Times New Roman"/>
              </w:rPr>
              <w:t xml:space="preserve"> be screened and to discuss ACEs with providers</w:t>
            </w:r>
          </w:p>
          <w:p w14:paraId="0AEB97A4" w14:textId="77777777" w:rsidR="00553F20" w:rsidRDefault="00553F20" w:rsidP="00B32639">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Being able to address root cause of diseases </w:t>
            </w:r>
          </w:p>
          <w:p w14:paraId="62274F80" w14:textId="2A1CAA52" w:rsidR="00553F20" w:rsidRPr="00B32639" w:rsidRDefault="00553F20" w:rsidP="00B32639">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Being effective and competent </w:t>
            </w:r>
          </w:p>
        </w:tc>
      </w:tr>
    </w:tbl>
    <w:p w14:paraId="4794DF28" w14:textId="0B251ED6" w:rsidR="004D3A76" w:rsidRPr="00706251" w:rsidRDefault="008E13BE">
      <w:pPr>
        <w:rPr>
          <w:rFonts w:ascii="Times New Roman" w:hAnsi="Times New Roman" w:cs="Times New Roman"/>
          <w:b/>
        </w:rPr>
      </w:pPr>
      <w:r w:rsidRPr="00706251">
        <w:rPr>
          <w:rFonts w:ascii="Times New Roman" w:hAnsi="Times New Roman" w:cs="Times New Roman"/>
          <w:b/>
        </w:rPr>
        <w:t xml:space="preserve"> </w:t>
      </w:r>
    </w:p>
    <w:p w14:paraId="7F0FE368" w14:textId="19EA5540" w:rsidR="00692133" w:rsidRPr="00706251" w:rsidRDefault="00692133" w:rsidP="00692133">
      <w:pPr>
        <w:jc w:val="both"/>
        <w:rPr>
          <w:rFonts w:asciiTheme="majorHAnsi" w:hAnsiTheme="majorHAnsi"/>
          <w:b/>
        </w:rPr>
      </w:pPr>
      <w:r w:rsidRPr="00706251">
        <w:rPr>
          <w:rFonts w:asciiTheme="majorHAnsi" w:hAnsiTheme="majorHAnsi"/>
          <w:b/>
        </w:rPr>
        <w:t>The Theory of Change PRECEDE</w:t>
      </w:r>
    </w:p>
    <w:p w14:paraId="41B2B919" w14:textId="77777777" w:rsidR="00E539C7" w:rsidRDefault="00E539C7" w:rsidP="00692133">
      <w:pPr>
        <w:jc w:val="both"/>
        <w:rPr>
          <w:rFonts w:asciiTheme="majorHAnsi" w:hAnsiTheme="majorHAnsi"/>
        </w:rPr>
      </w:pPr>
    </w:p>
    <w:tbl>
      <w:tblPr>
        <w:tblStyle w:val="LightGrid"/>
        <w:tblW w:w="9648" w:type="dxa"/>
        <w:tblLook w:val="04A0" w:firstRow="1" w:lastRow="0" w:firstColumn="1" w:lastColumn="0" w:noHBand="0" w:noVBand="1"/>
      </w:tblPr>
      <w:tblGrid>
        <w:gridCol w:w="2178"/>
        <w:gridCol w:w="7470"/>
      </w:tblGrid>
      <w:tr w:rsidR="00E539C7" w14:paraId="67DADDC4" w14:textId="77777777" w:rsidTr="00706251">
        <w:trPr>
          <w:cnfStyle w:val="100000000000" w:firstRow="1" w:lastRow="0" w:firstColumn="0" w:lastColumn="0" w:oddVBand="0" w:evenVBand="0" w:oddHBand="0"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9648" w:type="dxa"/>
            <w:gridSpan w:val="2"/>
          </w:tcPr>
          <w:p w14:paraId="340967AB" w14:textId="17485BBC" w:rsidR="00E539C7" w:rsidRPr="00E539C7" w:rsidRDefault="00E539C7" w:rsidP="00706251">
            <w:pPr>
              <w:jc w:val="center"/>
            </w:pPr>
            <w:r>
              <w:rPr>
                <w:rFonts w:ascii="Times New Roman" w:hAnsi="Times New Roman" w:cs="Times New Roman"/>
              </w:rPr>
              <w:t>Universal Screening for ACEs in Pediatric Primary Care</w:t>
            </w:r>
          </w:p>
        </w:tc>
      </w:tr>
      <w:tr w:rsidR="00E539C7" w14:paraId="76442066" w14:textId="77777777" w:rsidTr="00706251">
        <w:trPr>
          <w:cnfStyle w:val="000000100000" w:firstRow="0" w:lastRow="0" w:firstColumn="0" w:lastColumn="0" w:oddVBand="0" w:evenVBand="0" w:oddHBand="1" w:evenHBand="0" w:firstRowFirstColumn="0" w:firstRowLastColumn="0" w:lastRowFirstColumn="0" w:lastRowLastColumn="0"/>
          <w:trHeight w:val="1144"/>
        </w:trPr>
        <w:tc>
          <w:tcPr>
            <w:cnfStyle w:val="001000000000" w:firstRow="0" w:lastRow="0" w:firstColumn="1" w:lastColumn="0" w:oddVBand="0" w:evenVBand="0" w:oddHBand="0" w:evenHBand="0" w:firstRowFirstColumn="0" w:firstRowLastColumn="0" w:lastRowFirstColumn="0" w:lastRowLastColumn="0"/>
            <w:tcW w:w="2178" w:type="dxa"/>
          </w:tcPr>
          <w:p w14:paraId="02BB2B90" w14:textId="6D45199A" w:rsidR="00E539C7" w:rsidRDefault="00E539C7" w:rsidP="00692133">
            <w:pPr>
              <w:jc w:val="both"/>
            </w:pPr>
            <w:r>
              <w:t xml:space="preserve">Predisposing </w:t>
            </w:r>
          </w:p>
        </w:tc>
        <w:tc>
          <w:tcPr>
            <w:tcW w:w="7470" w:type="dxa"/>
          </w:tcPr>
          <w:p w14:paraId="34229DCA" w14:textId="77777777" w:rsidR="00E539C7" w:rsidRDefault="00E539C7" w:rsidP="00E539C7">
            <w:pPr>
              <w:pStyle w:val="ListParagraph"/>
              <w:numPr>
                <w:ilvl w:val="0"/>
                <w:numId w:val="4"/>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Time constraint</w:t>
            </w:r>
          </w:p>
          <w:p w14:paraId="23B9E0FB" w14:textId="77777777" w:rsidR="00E539C7" w:rsidRDefault="00E539C7" w:rsidP="00E539C7">
            <w:pPr>
              <w:pStyle w:val="ListParagraph"/>
              <w:numPr>
                <w:ilvl w:val="0"/>
                <w:numId w:val="4"/>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Concerns around reporting</w:t>
            </w:r>
          </w:p>
          <w:p w14:paraId="0B304FFA" w14:textId="2ABC5818" w:rsidR="00E539C7" w:rsidRDefault="00E539C7" w:rsidP="00E539C7">
            <w:pPr>
              <w:pStyle w:val="ListParagraph"/>
              <w:numPr>
                <w:ilvl w:val="0"/>
                <w:numId w:val="4"/>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Lack of skills at addressing ACEs</w:t>
            </w:r>
            <w:r w:rsidR="00834E55">
              <w:rPr>
                <w:rFonts w:asciiTheme="majorHAnsi" w:hAnsiTheme="majorHAnsi"/>
              </w:rPr>
              <w:t>; feeling impotent without support</w:t>
            </w:r>
          </w:p>
          <w:p w14:paraId="6182E97C" w14:textId="5D43C2D6" w:rsidR="00E539C7" w:rsidRPr="00E539C7" w:rsidRDefault="00E539C7" w:rsidP="00E539C7">
            <w:pPr>
              <w:pStyle w:val="ListParagraph"/>
              <w:numPr>
                <w:ilvl w:val="0"/>
                <w:numId w:val="4"/>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Lack of integrated care </w:t>
            </w:r>
            <w:r w:rsidR="00834E55">
              <w:rPr>
                <w:rFonts w:asciiTheme="majorHAnsi" w:hAnsiTheme="majorHAnsi"/>
              </w:rPr>
              <w:t>and support with follow-up</w:t>
            </w:r>
          </w:p>
        </w:tc>
      </w:tr>
      <w:tr w:rsidR="00E539C7" w14:paraId="425D4554" w14:textId="77777777" w:rsidTr="00706251">
        <w:trPr>
          <w:cnfStyle w:val="000000010000" w:firstRow="0" w:lastRow="0" w:firstColumn="0" w:lastColumn="0" w:oddVBand="0" w:evenVBand="0" w:oddHBand="0" w:evenHBand="1" w:firstRowFirstColumn="0" w:firstRowLastColumn="0" w:lastRowFirstColumn="0" w:lastRowLastColumn="0"/>
          <w:trHeight w:val="1144"/>
        </w:trPr>
        <w:tc>
          <w:tcPr>
            <w:cnfStyle w:val="001000000000" w:firstRow="0" w:lastRow="0" w:firstColumn="1" w:lastColumn="0" w:oddVBand="0" w:evenVBand="0" w:oddHBand="0" w:evenHBand="0" w:firstRowFirstColumn="0" w:firstRowLastColumn="0" w:lastRowFirstColumn="0" w:lastRowLastColumn="0"/>
            <w:tcW w:w="2178" w:type="dxa"/>
          </w:tcPr>
          <w:p w14:paraId="2E9BDE8B" w14:textId="5778E264" w:rsidR="00E539C7" w:rsidRDefault="00E539C7" w:rsidP="00692133">
            <w:pPr>
              <w:jc w:val="both"/>
            </w:pPr>
            <w:r>
              <w:t>Enabling</w:t>
            </w:r>
          </w:p>
        </w:tc>
        <w:tc>
          <w:tcPr>
            <w:tcW w:w="7470" w:type="dxa"/>
          </w:tcPr>
          <w:p w14:paraId="7DF5230D" w14:textId="538D9BFA" w:rsidR="00834E55" w:rsidRDefault="00834E55" w:rsidP="00E539C7">
            <w:pPr>
              <w:pStyle w:val="ListParagraph"/>
              <w:numPr>
                <w:ilvl w:val="0"/>
                <w:numId w:val="4"/>
              </w:numPr>
              <w:jc w:val="both"/>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AAP recommendation of screening</w:t>
            </w:r>
          </w:p>
          <w:p w14:paraId="0B966A01" w14:textId="77777777" w:rsidR="00E539C7" w:rsidRDefault="00E539C7" w:rsidP="00E539C7">
            <w:pPr>
              <w:pStyle w:val="ListParagraph"/>
              <w:numPr>
                <w:ilvl w:val="0"/>
                <w:numId w:val="4"/>
              </w:numPr>
              <w:jc w:val="both"/>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 xml:space="preserve">Research supporting screening and intervention </w:t>
            </w:r>
          </w:p>
          <w:p w14:paraId="7AA5A101" w14:textId="15C91F9A" w:rsidR="00834E55" w:rsidRDefault="00834E55" w:rsidP="00E539C7">
            <w:pPr>
              <w:pStyle w:val="ListParagraph"/>
              <w:numPr>
                <w:ilvl w:val="0"/>
                <w:numId w:val="4"/>
              </w:numPr>
              <w:jc w:val="both"/>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Pediatric primary care as medical home</w:t>
            </w:r>
          </w:p>
          <w:p w14:paraId="168C5535" w14:textId="77777777" w:rsidR="00834E55" w:rsidRDefault="00834E55" w:rsidP="00E539C7">
            <w:pPr>
              <w:pStyle w:val="ListParagraph"/>
              <w:numPr>
                <w:ilvl w:val="0"/>
                <w:numId w:val="4"/>
              </w:numPr>
              <w:jc w:val="both"/>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Patients/caregivers trust toward providers</w:t>
            </w:r>
          </w:p>
          <w:p w14:paraId="326595E3" w14:textId="77777777" w:rsidR="00834E55" w:rsidRDefault="00834E55" w:rsidP="00E539C7">
            <w:pPr>
              <w:pStyle w:val="ListParagraph"/>
              <w:numPr>
                <w:ilvl w:val="0"/>
                <w:numId w:val="4"/>
              </w:numPr>
              <w:jc w:val="both"/>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Patients/caregivers openness to screening and discussing ACEs with providers</w:t>
            </w:r>
          </w:p>
          <w:p w14:paraId="4385A1F4" w14:textId="77777777" w:rsidR="00FF7DFA" w:rsidRDefault="00FF7DFA" w:rsidP="00E539C7">
            <w:pPr>
              <w:pStyle w:val="ListParagraph"/>
              <w:numPr>
                <w:ilvl w:val="0"/>
                <w:numId w:val="4"/>
              </w:numPr>
              <w:jc w:val="both"/>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Building support chain (integrated care: mental and behavioral health)</w:t>
            </w:r>
          </w:p>
          <w:p w14:paraId="413BBB06" w14:textId="77777777" w:rsidR="00FF7DFA" w:rsidRDefault="00FF7DFA" w:rsidP="00E539C7">
            <w:pPr>
              <w:pStyle w:val="ListParagraph"/>
              <w:numPr>
                <w:ilvl w:val="0"/>
                <w:numId w:val="4"/>
              </w:numPr>
              <w:jc w:val="both"/>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 xml:space="preserve">Training for providers </w:t>
            </w:r>
          </w:p>
          <w:p w14:paraId="2CB54D25" w14:textId="657B7992" w:rsidR="00FF7DFA" w:rsidRPr="00E539C7" w:rsidRDefault="00FF7DFA" w:rsidP="00E539C7">
            <w:pPr>
              <w:pStyle w:val="ListParagraph"/>
              <w:numPr>
                <w:ilvl w:val="0"/>
                <w:numId w:val="4"/>
              </w:numPr>
              <w:jc w:val="both"/>
              <w:cnfStyle w:val="000000010000" w:firstRow="0" w:lastRow="0" w:firstColumn="0" w:lastColumn="0" w:oddVBand="0" w:evenVBand="0" w:oddHBand="0" w:evenHBand="1" w:firstRowFirstColumn="0" w:firstRowLastColumn="0" w:lastRowFirstColumn="0" w:lastRowLastColumn="0"/>
              <w:rPr>
                <w:rFonts w:asciiTheme="majorHAnsi" w:hAnsiTheme="majorHAnsi"/>
              </w:rPr>
            </w:pPr>
            <w:r>
              <w:rPr>
                <w:rFonts w:asciiTheme="majorHAnsi" w:hAnsiTheme="majorHAnsi"/>
              </w:rPr>
              <w:t>Removing time pressure</w:t>
            </w:r>
          </w:p>
        </w:tc>
      </w:tr>
      <w:tr w:rsidR="00E539C7" w14:paraId="5EBBFF7C" w14:textId="77777777" w:rsidTr="00706251">
        <w:trPr>
          <w:cnfStyle w:val="000000100000" w:firstRow="0" w:lastRow="0" w:firstColumn="0" w:lastColumn="0" w:oddVBand="0" w:evenVBand="0" w:oddHBand="1" w:evenHBand="0" w:firstRowFirstColumn="0" w:firstRowLastColumn="0" w:lastRowFirstColumn="0" w:lastRowLastColumn="0"/>
          <w:trHeight w:val="1201"/>
        </w:trPr>
        <w:tc>
          <w:tcPr>
            <w:cnfStyle w:val="001000000000" w:firstRow="0" w:lastRow="0" w:firstColumn="1" w:lastColumn="0" w:oddVBand="0" w:evenVBand="0" w:oddHBand="0" w:evenHBand="0" w:firstRowFirstColumn="0" w:firstRowLastColumn="0" w:lastRowFirstColumn="0" w:lastRowLastColumn="0"/>
            <w:tcW w:w="2178" w:type="dxa"/>
          </w:tcPr>
          <w:p w14:paraId="0F398CE6" w14:textId="78A2E262" w:rsidR="00E539C7" w:rsidRDefault="00E539C7" w:rsidP="00692133">
            <w:pPr>
              <w:jc w:val="both"/>
            </w:pPr>
            <w:r>
              <w:t>Reinforcing</w:t>
            </w:r>
          </w:p>
        </w:tc>
        <w:tc>
          <w:tcPr>
            <w:tcW w:w="7470" w:type="dxa"/>
          </w:tcPr>
          <w:p w14:paraId="0F025F7E" w14:textId="77777777" w:rsidR="00E539C7" w:rsidRDefault="00FF7DFA" w:rsidP="00FF7DFA">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Capacity and skill building through training</w:t>
            </w:r>
          </w:p>
          <w:p w14:paraId="1A3D6C95" w14:textId="77777777" w:rsidR="00FF7DFA" w:rsidRDefault="00263D1F" w:rsidP="00FF7DFA">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Increased competency; increased trust</w:t>
            </w:r>
          </w:p>
          <w:p w14:paraId="77C1E3C8" w14:textId="644C5C13" w:rsidR="00263D1F" w:rsidRDefault="004063AF" w:rsidP="00FF7DFA">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Attend conferences on ACEs </w:t>
            </w:r>
          </w:p>
          <w:p w14:paraId="2183D9F9" w14:textId="77777777" w:rsidR="004063AF" w:rsidRDefault="004063AF" w:rsidP="00FF7DFA">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Forming ACEs screening committee on screening</w:t>
            </w:r>
          </w:p>
          <w:p w14:paraId="0A4AB29D" w14:textId="77777777" w:rsidR="004063AF" w:rsidRDefault="004063AF" w:rsidP="00FF7DFA">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Evaluation of the impact of screening on health outcomes</w:t>
            </w:r>
          </w:p>
          <w:p w14:paraId="2DDEFDD1" w14:textId="43E412C4" w:rsidR="00C5453D" w:rsidRPr="00FF7DFA" w:rsidRDefault="00C5453D" w:rsidP="00FF7DFA">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Adding modules on ACEs to medical training</w:t>
            </w:r>
          </w:p>
        </w:tc>
      </w:tr>
    </w:tbl>
    <w:p w14:paraId="610AE8CC" w14:textId="77777777" w:rsidR="00BF39EA" w:rsidRDefault="00BF39EA" w:rsidP="00692133">
      <w:pPr>
        <w:jc w:val="both"/>
        <w:rPr>
          <w:rFonts w:asciiTheme="majorHAnsi" w:hAnsiTheme="majorHAnsi"/>
        </w:rPr>
      </w:pPr>
    </w:p>
    <w:p w14:paraId="541FA53C" w14:textId="77777777" w:rsidR="00BF39EA" w:rsidRDefault="00BF39EA" w:rsidP="00692133">
      <w:pPr>
        <w:jc w:val="both"/>
        <w:rPr>
          <w:rFonts w:asciiTheme="majorHAnsi" w:hAnsiTheme="majorHAnsi"/>
        </w:rPr>
      </w:pPr>
    </w:p>
    <w:p w14:paraId="4A8535E5" w14:textId="77777777" w:rsidR="00BF39EA" w:rsidRDefault="00BF39EA" w:rsidP="00692133">
      <w:pPr>
        <w:jc w:val="both"/>
        <w:rPr>
          <w:rFonts w:asciiTheme="majorHAnsi" w:hAnsiTheme="majorHAnsi"/>
        </w:rPr>
      </w:pPr>
    </w:p>
    <w:p w14:paraId="223D2200" w14:textId="77777777" w:rsidR="002D6FB2" w:rsidRPr="00D86B70" w:rsidRDefault="002D6FB2" w:rsidP="002D6FB2">
      <w:pPr>
        <w:rPr>
          <w:rFonts w:asciiTheme="majorHAnsi" w:hAnsiTheme="majorHAnsi"/>
          <w:sz w:val="18"/>
          <w:szCs w:val="18"/>
        </w:rPr>
      </w:pPr>
      <w:proofErr w:type="spellStart"/>
      <w:proofErr w:type="gramStart"/>
      <w:r w:rsidRPr="00D86B70">
        <w:rPr>
          <w:rFonts w:asciiTheme="majorHAnsi" w:hAnsiTheme="majorHAnsi"/>
          <w:sz w:val="18"/>
          <w:szCs w:val="18"/>
        </w:rPr>
        <w:t>Felitti</w:t>
      </w:r>
      <w:proofErr w:type="spellEnd"/>
      <w:r w:rsidRPr="00D86B70">
        <w:rPr>
          <w:rFonts w:asciiTheme="majorHAnsi" w:hAnsiTheme="majorHAnsi"/>
          <w:sz w:val="18"/>
          <w:szCs w:val="18"/>
        </w:rPr>
        <w:t xml:space="preserve">, V. J., &amp; </w:t>
      </w:r>
      <w:proofErr w:type="spellStart"/>
      <w:r w:rsidRPr="00D86B70">
        <w:rPr>
          <w:rFonts w:asciiTheme="majorHAnsi" w:hAnsiTheme="majorHAnsi"/>
          <w:sz w:val="18"/>
          <w:szCs w:val="18"/>
        </w:rPr>
        <w:t>Anda</w:t>
      </w:r>
      <w:proofErr w:type="spellEnd"/>
      <w:r w:rsidRPr="00D86B70">
        <w:rPr>
          <w:rFonts w:asciiTheme="majorHAnsi" w:hAnsiTheme="majorHAnsi"/>
          <w:sz w:val="18"/>
          <w:szCs w:val="18"/>
        </w:rPr>
        <w:t>, R. F. (2014).</w:t>
      </w:r>
      <w:proofErr w:type="gramEnd"/>
      <w:r w:rsidRPr="00D86B70">
        <w:rPr>
          <w:rFonts w:asciiTheme="majorHAnsi" w:hAnsiTheme="majorHAnsi"/>
          <w:sz w:val="18"/>
          <w:szCs w:val="18"/>
        </w:rPr>
        <w:t xml:space="preserve"> </w:t>
      </w:r>
      <w:proofErr w:type="gramStart"/>
      <w:r w:rsidRPr="00D86B70">
        <w:rPr>
          <w:rFonts w:asciiTheme="majorHAnsi" w:hAnsiTheme="majorHAnsi"/>
          <w:sz w:val="18"/>
          <w:szCs w:val="18"/>
        </w:rPr>
        <w:t>The lifelong effects of adverse childhood experiences.</w:t>
      </w:r>
      <w:proofErr w:type="gramEnd"/>
      <w:r w:rsidRPr="00D86B70">
        <w:rPr>
          <w:rFonts w:asciiTheme="majorHAnsi" w:hAnsiTheme="majorHAnsi"/>
          <w:sz w:val="18"/>
          <w:szCs w:val="18"/>
        </w:rPr>
        <w:t xml:space="preserve"> </w:t>
      </w:r>
      <w:r w:rsidRPr="00D86B70">
        <w:rPr>
          <w:rFonts w:asciiTheme="majorHAnsi" w:hAnsiTheme="majorHAnsi"/>
          <w:i/>
          <w:iCs/>
          <w:sz w:val="18"/>
          <w:szCs w:val="18"/>
        </w:rPr>
        <w:t>Chadwick’s child maltreatment: sexual abuse and psychological maltreatment</w:t>
      </w:r>
      <w:r w:rsidRPr="00D86B70">
        <w:rPr>
          <w:rFonts w:asciiTheme="majorHAnsi" w:hAnsiTheme="majorHAnsi"/>
          <w:sz w:val="18"/>
          <w:szCs w:val="18"/>
        </w:rPr>
        <w:t xml:space="preserve">, </w:t>
      </w:r>
      <w:r w:rsidRPr="00D86B70">
        <w:rPr>
          <w:rFonts w:asciiTheme="majorHAnsi" w:hAnsiTheme="majorHAnsi"/>
          <w:i/>
          <w:iCs/>
          <w:sz w:val="18"/>
          <w:szCs w:val="18"/>
        </w:rPr>
        <w:t>2</w:t>
      </w:r>
      <w:r w:rsidRPr="00D86B70">
        <w:rPr>
          <w:rFonts w:asciiTheme="majorHAnsi" w:hAnsiTheme="majorHAnsi"/>
          <w:sz w:val="18"/>
          <w:szCs w:val="18"/>
        </w:rPr>
        <w:t>, 203-15.</w:t>
      </w:r>
    </w:p>
    <w:p w14:paraId="64873037" w14:textId="77777777" w:rsidR="00BE3420" w:rsidRPr="00D86B70" w:rsidRDefault="00BE3420" w:rsidP="00BE3420">
      <w:pPr>
        <w:rPr>
          <w:rFonts w:asciiTheme="majorHAnsi" w:hAnsiTheme="majorHAnsi"/>
          <w:sz w:val="18"/>
          <w:szCs w:val="18"/>
        </w:rPr>
      </w:pPr>
      <w:r w:rsidRPr="00D86B70">
        <w:rPr>
          <w:rFonts w:asciiTheme="majorHAnsi" w:hAnsiTheme="majorHAnsi"/>
          <w:sz w:val="18"/>
          <w:szCs w:val="18"/>
        </w:rPr>
        <w:t xml:space="preserve">Gilbert, L. K., </w:t>
      </w:r>
      <w:proofErr w:type="spellStart"/>
      <w:r w:rsidRPr="00D86B70">
        <w:rPr>
          <w:rFonts w:asciiTheme="majorHAnsi" w:hAnsiTheme="majorHAnsi"/>
          <w:sz w:val="18"/>
          <w:szCs w:val="18"/>
        </w:rPr>
        <w:t>Breiding</w:t>
      </w:r>
      <w:proofErr w:type="spellEnd"/>
      <w:r w:rsidRPr="00D86B70">
        <w:rPr>
          <w:rFonts w:asciiTheme="majorHAnsi" w:hAnsiTheme="majorHAnsi"/>
          <w:sz w:val="18"/>
          <w:szCs w:val="18"/>
        </w:rPr>
        <w:t xml:space="preserve">, M. J., Merrick, M. T., Thompson, W. W., Ford, D. C., </w:t>
      </w:r>
      <w:proofErr w:type="spellStart"/>
      <w:r w:rsidRPr="00D86B70">
        <w:rPr>
          <w:rFonts w:asciiTheme="majorHAnsi" w:hAnsiTheme="majorHAnsi"/>
          <w:sz w:val="18"/>
          <w:szCs w:val="18"/>
        </w:rPr>
        <w:t>Dhingra</w:t>
      </w:r>
      <w:proofErr w:type="spellEnd"/>
      <w:r w:rsidRPr="00D86B70">
        <w:rPr>
          <w:rFonts w:asciiTheme="majorHAnsi" w:hAnsiTheme="majorHAnsi"/>
          <w:sz w:val="18"/>
          <w:szCs w:val="18"/>
        </w:rPr>
        <w:t xml:space="preserve">, S. S., &amp; Parks, S. E. (2015). Childhood adversity and adult chronic disease: an update from ten states and the District of Columbia, 2010. </w:t>
      </w:r>
      <w:r w:rsidRPr="00D86B70">
        <w:rPr>
          <w:rFonts w:asciiTheme="majorHAnsi" w:hAnsiTheme="majorHAnsi"/>
          <w:i/>
          <w:iCs/>
          <w:sz w:val="18"/>
          <w:szCs w:val="18"/>
        </w:rPr>
        <w:t>American journal of preventive medicine</w:t>
      </w:r>
      <w:r w:rsidRPr="00D86B70">
        <w:rPr>
          <w:rFonts w:asciiTheme="majorHAnsi" w:hAnsiTheme="majorHAnsi"/>
          <w:sz w:val="18"/>
          <w:szCs w:val="18"/>
        </w:rPr>
        <w:t xml:space="preserve">, </w:t>
      </w:r>
      <w:r w:rsidRPr="00D86B70">
        <w:rPr>
          <w:rFonts w:asciiTheme="majorHAnsi" w:hAnsiTheme="majorHAnsi"/>
          <w:i/>
          <w:iCs/>
          <w:sz w:val="18"/>
          <w:szCs w:val="18"/>
        </w:rPr>
        <w:t>48</w:t>
      </w:r>
      <w:r w:rsidRPr="00D86B70">
        <w:rPr>
          <w:rFonts w:asciiTheme="majorHAnsi" w:hAnsiTheme="majorHAnsi"/>
          <w:sz w:val="18"/>
          <w:szCs w:val="18"/>
        </w:rPr>
        <w:t>(3), 345-349.</w:t>
      </w:r>
    </w:p>
    <w:p w14:paraId="7134552B" w14:textId="55A8D19A" w:rsidR="00DC16CF" w:rsidRDefault="003649CA">
      <w:pPr>
        <w:rPr>
          <w:rFonts w:asciiTheme="majorHAnsi" w:hAnsiTheme="majorHAnsi"/>
          <w:sz w:val="18"/>
          <w:szCs w:val="18"/>
        </w:rPr>
      </w:pPr>
      <w:proofErr w:type="gramStart"/>
      <w:r w:rsidRPr="00D86B70">
        <w:rPr>
          <w:rFonts w:asciiTheme="majorHAnsi" w:hAnsiTheme="majorHAnsi"/>
          <w:sz w:val="18"/>
          <w:szCs w:val="18"/>
        </w:rPr>
        <w:t xml:space="preserve">Thompson, R., Flaherty, E. G., English, D. J., </w:t>
      </w:r>
      <w:proofErr w:type="spellStart"/>
      <w:r w:rsidRPr="00D86B70">
        <w:rPr>
          <w:rFonts w:asciiTheme="majorHAnsi" w:hAnsiTheme="majorHAnsi"/>
          <w:sz w:val="18"/>
          <w:szCs w:val="18"/>
        </w:rPr>
        <w:t>Litrownik</w:t>
      </w:r>
      <w:proofErr w:type="spellEnd"/>
      <w:r w:rsidRPr="00D86B70">
        <w:rPr>
          <w:rFonts w:asciiTheme="majorHAnsi" w:hAnsiTheme="majorHAnsi"/>
          <w:sz w:val="18"/>
          <w:szCs w:val="18"/>
        </w:rPr>
        <w:t xml:space="preserve">, A. J., </w:t>
      </w:r>
      <w:proofErr w:type="spellStart"/>
      <w:r w:rsidRPr="00D86B70">
        <w:rPr>
          <w:rFonts w:asciiTheme="majorHAnsi" w:hAnsiTheme="majorHAnsi"/>
          <w:sz w:val="18"/>
          <w:szCs w:val="18"/>
        </w:rPr>
        <w:t>Dubowitz</w:t>
      </w:r>
      <w:proofErr w:type="spellEnd"/>
      <w:r w:rsidRPr="00D86B70">
        <w:rPr>
          <w:rFonts w:asciiTheme="majorHAnsi" w:hAnsiTheme="majorHAnsi"/>
          <w:sz w:val="18"/>
          <w:szCs w:val="18"/>
        </w:rPr>
        <w:t xml:space="preserve">, H., </w:t>
      </w:r>
      <w:proofErr w:type="spellStart"/>
      <w:r w:rsidRPr="00D86B70">
        <w:rPr>
          <w:rFonts w:asciiTheme="majorHAnsi" w:hAnsiTheme="majorHAnsi"/>
          <w:sz w:val="18"/>
          <w:szCs w:val="18"/>
        </w:rPr>
        <w:t>Kotch</w:t>
      </w:r>
      <w:proofErr w:type="spellEnd"/>
      <w:r w:rsidRPr="00D86B70">
        <w:rPr>
          <w:rFonts w:asciiTheme="majorHAnsi" w:hAnsiTheme="majorHAnsi"/>
          <w:sz w:val="18"/>
          <w:szCs w:val="18"/>
        </w:rPr>
        <w:t xml:space="preserve">, J. B., &amp; </w:t>
      </w:r>
      <w:proofErr w:type="spellStart"/>
      <w:r w:rsidRPr="00D86B70">
        <w:rPr>
          <w:rFonts w:asciiTheme="majorHAnsi" w:hAnsiTheme="majorHAnsi"/>
          <w:sz w:val="18"/>
          <w:szCs w:val="18"/>
        </w:rPr>
        <w:t>Runyan</w:t>
      </w:r>
      <w:proofErr w:type="spellEnd"/>
      <w:r w:rsidRPr="00D86B70">
        <w:rPr>
          <w:rFonts w:asciiTheme="majorHAnsi" w:hAnsiTheme="majorHAnsi"/>
          <w:sz w:val="18"/>
          <w:szCs w:val="18"/>
        </w:rPr>
        <w:t>, D. K. (2015).</w:t>
      </w:r>
      <w:proofErr w:type="gramEnd"/>
      <w:r w:rsidRPr="00D86B70">
        <w:rPr>
          <w:rFonts w:asciiTheme="majorHAnsi" w:hAnsiTheme="majorHAnsi"/>
          <w:sz w:val="18"/>
          <w:szCs w:val="18"/>
        </w:rPr>
        <w:t xml:space="preserve"> </w:t>
      </w:r>
      <w:proofErr w:type="gramStart"/>
      <w:r w:rsidRPr="00D86B70">
        <w:rPr>
          <w:rFonts w:asciiTheme="majorHAnsi" w:hAnsiTheme="majorHAnsi"/>
          <w:sz w:val="18"/>
          <w:szCs w:val="18"/>
        </w:rPr>
        <w:t>Trajectories of adverse childhood experiences and self-reported health at age 18.</w:t>
      </w:r>
      <w:proofErr w:type="gramEnd"/>
      <w:r w:rsidRPr="00D86B70">
        <w:rPr>
          <w:rFonts w:asciiTheme="majorHAnsi" w:hAnsiTheme="majorHAnsi"/>
          <w:sz w:val="18"/>
          <w:szCs w:val="18"/>
        </w:rPr>
        <w:t xml:space="preserve"> </w:t>
      </w:r>
      <w:r w:rsidRPr="00D86B70">
        <w:rPr>
          <w:rFonts w:asciiTheme="majorHAnsi" w:hAnsiTheme="majorHAnsi"/>
          <w:i/>
          <w:iCs/>
          <w:sz w:val="18"/>
          <w:szCs w:val="18"/>
        </w:rPr>
        <w:t>Academic pediatrics</w:t>
      </w:r>
      <w:r w:rsidRPr="00D86B70">
        <w:rPr>
          <w:rFonts w:asciiTheme="majorHAnsi" w:hAnsiTheme="majorHAnsi"/>
          <w:sz w:val="18"/>
          <w:szCs w:val="18"/>
        </w:rPr>
        <w:t xml:space="preserve">, </w:t>
      </w:r>
      <w:r w:rsidRPr="00D86B70">
        <w:rPr>
          <w:rFonts w:asciiTheme="majorHAnsi" w:hAnsiTheme="majorHAnsi"/>
          <w:i/>
          <w:iCs/>
          <w:sz w:val="18"/>
          <w:szCs w:val="18"/>
        </w:rPr>
        <w:t>15</w:t>
      </w:r>
      <w:r w:rsidRPr="00D86B70">
        <w:rPr>
          <w:rFonts w:asciiTheme="majorHAnsi" w:hAnsiTheme="majorHAnsi"/>
          <w:sz w:val="18"/>
          <w:szCs w:val="18"/>
        </w:rPr>
        <w:t>(5), 503-509.</w:t>
      </w:r>
    </w:p>
    <w:p w14:paraId="171C2CE5" w14:textId="6A0B9926" w:rsidR="00922D98" w:rsidRPr="00D86B70" w:rsidRDefault="00922D98">
      <w:pPr>
        <w:rPr>
          <w:rFonts w:asciiTheme="majorHAnsi" w:hAnsiTheme="majorHAnsi"/>
          <w:sz w:val="18"/>
          <w:szCs w:val="18"/>
        </w:rPr>
      </w:pPr>
      <w:r w:rsidRPr="00922D98">
        <w:rPr>
          <w:rFonts w:asciiTheme="majorHAnsi" w:hAnsiTheme="majorHAnsi"/>
          <w:sz w:val="18"/>
          <w:szCs w:val="18"/>
        </w:rPr>
        <w:t xml:space="preserve">Garner, A. S., </w:t>
      </w:r>
      <w:proofErr w:type="spellStart"/>
      <w:r w:rsidRPr="00922D98">
        <w:rPr>
          <w:rFonts w:asciiTheme="majorHAnsi" w:hAnsiTheme="majorHAnsi"/>
          <w:sz w:val="18"/>
          <w:szCs w:val="18"/>
        </w:rPr>
        <w:t>Shonkoff</w:t>
      </w:r>
      <w:proofErr w:type="spellEnd"/>
      <w:r w:rsidRPr="00922D98">
        <w:rPr>
          <w:rFonts w:asciiTheme="majorHAnsi" w:hAnsiTheme="majorHAnsi"/>
          <w:sz w:val="18"/>
          <w:szCs w:val="18"/>
        </w:rPr>
        <w:t xml:space="preserve">, J. P., Siegel, B. S., Dobbins, M. I., Earls, M. F., </w:t>
      </w:r>
      <w:proofErr w:type="spellStart"/>
      <w:r w:rsidRPr="00922D98">
        <w:rPr>
          <w:rFonts w:asciiTheme="majorHAnsi" w:hAnsiTheme="majorHAnsi"/>
          <w:sz w:val="18"/>
          <w:szCs w:val="18"/>
        </w:rPr>
        <w:t>McGuinn</w:t>
      </w:r>
      <w:proofErr w:type="spellEnd"/>
      <w:r w:rsidRPr="00922D98">
        <w:rPr>
          <w:rFonts w:asciiTheme="majorHAnsi" w:hAnsiTheme="majorHAnsi"/>
          <w:sz w:val="18"/>
          <w:szCs w:val="18"/>
        </w:rPr>
        <w:t xml:space="preserve">, L., ... &amp; Committee on Early Childhood, Adoption, and Dependent Care. (2012). Early childhood adversity, toxic stress, and the role of the pediatrician: translating developmental science into lifelong health. </w:t>
      </w:r>
      <w:proofErr w:type="gramStart"/>
      <w:r w:rsidRPr="00922D98">
        <w:rPr>
          <w:rFonts w:asciiTheme="majorHAnsi" w:hAnsiTheme="majorHAnsi"/>
          <w:i/>
          <w:iCs/>
          <w:sz w:val="18"/>
          <w:szCs w:val="18"/>
        </w:rPr>
        <w:t>Pediatrics</w:t>
      </w:r>
      <w:r w:rsidRPr="00922D98">
        <w:rPr>
          <w:rFonts w:asciiTheme="majorHAnsi" w:hAnsiTheme="majorHAnsi"/>
          <w:sz w:val="18"/>
          <w:szCs w:val="18"/>
        </w:rPr>
        <w:t xml:space="preserve">, </w:t>
      </w:r>
      <w:r w:rsidRPr="00922D98">
        <w:rPr>
          <w:rFonts w:asciiTheme="majorHAnsi" w:hAnsiTheme="majorHAnsi"/>
          <w:i/>
          <w:iCs/>
          <w:sz w:val="18"/>
          <w:szCs w:val="18"/>
        </w:rPr>
        <w:t>129</w:t>
      </w:r>
      <w:r w:rsidRPr="00922D98">
        <w:rPr>
          <w:rFonts w:asciiTheme="majorHAnsi" w:hAnsiTheme="majorHAnsi"/>
          <w:sz w:val="18"/>
          <w:szCs w:val="18"/>
        </w:rPr>
        <w:t>(1), e224-e231.</w:t>
      </w:r>
      <w:proofErr w:type="gramEnd"/>
    </w:p>
    <w:p w14:paraId="7FB43440" w14:textId="189C7852" w:rsidR="00DC16CF" w:rsidRDefault="00DC16CF">
      <w:pPr>
        <w:rPr>
          <w:rFonts w:asciiTheme="majorHAnsi" w:hAnsiTheme="majorHAnsi"/>
          <w:sz w:val="18"/>
          <w:szCs w:val="18"/>
        </w:rPr>
      </w:pPr>
      <w:r w:rsidRPr="00D86B70">
        <w:rPr>
          <w:rFonts w:asciiTheme="majorHAnsi" w:hAnsiTheme="majorHAnsi"/>
          <w:sz w:val="18"/>
          <w:szCs w:val="18"/>
        </w:rPr>
        <w:t xml:space="preserve">Goldstein E, </w:t>
      </w:r>
      <w:proofErr w:type="spellStart"/>
      <w:r w:rsidRPr="00D86B70">
        <w:rPr>
          <w:rFonts w:asciiTheme="majorHAnsi" w:hAnsiTheme="majorHAnsi"/>
          <w:sz w:val="18"/>
          <w:szCs w:val="18"/>
        </w:rPr>
        <w:t>Athale</w:t>
      </w:r>
      <w:proofErr w:type="spellEnd"/>
      <w:r w:rsidRPr="00D86B70">
        <w:rPr>
          <w:rFonts w:asciiTheme="majorHAnsi" w:hAnsiTheme="majorHAnsi"/>
          <w:sz w:val="18"/>
          <w:szCs w:val="18"/>
        </w:rPr>
        <w:t xml:space="preserve"> N, </w:t>
      </w:r>
      <w:proofErr w:type="spellStart"/>
      <w:r w:rsidRPr="00D86B70">
        <w:rPr>
          <w:rFonts w:asciiTheme="majorHAnsi" w:hAnsiTheme="majorHAnsi"/>
          <w:sz w:val="18"/>
          <w:szCs w:val="18"/>
        </w:rPr>
        <w:t>Sciolla</w:t>
      </w:r>
      <w:proofErr w:type="spellEnd"/>
      <w:r w:rsidRPr="00D86B70">
        <w:rPr>
          <w:rFonts w:asciiTheme="majorHAnsi" w:hAnsiTheme="majorHAnsi"/>
          <w:sz w:val="18"/>
          <w:szCs w:val="18"/>
        </w:rPr>
        <w:t xml:space="preserve"> AF, </w:t>
      </w:r>
      <w:proofErr w:type="spellStart"/>
      <w:r w:rsidRPr="00D86B70">
        <w:rPr>
          <w:rFonts w:asciiTheme="majorHAnsi" w:hAnsiTheme="majorHAnsi"/>
          <w:sz w:val="18"/>
          <w:szCs w:val="18"/>
        </w:rPr>
        <w:t>Catz</w:t>
      </w:r>
      <w:proofErr w:type="spellEnd"/>
      <w:r w:rsidRPr="00D86B70">
        <w:rPr>
          <w:rFonts w:asciiTheme="majorHAnsi" w:hAnsiTheme="majorHAnsi"/>
          <w:sz w:val="18"/>
          <w:szCs w:val="18"/>
        </w:rPr>
        <w:t xml:space="preserve"> SL. Patient preferences for discussing childhood trauma in primary care. Perm J 2017</w:t>
      </w:r>
      <w:proofErr w:type="gramStart"/>
      <w:r w:rsidRPr="00D86B70">
        <w:rPr>
          <w:rFonts w:asciiTheme="majorHAnsi" w:hAnsiTheme="majorHAnsi"/>
          <w:sz w:val="18"/>
          <w:szCs w:val="18"/>
        </w:rPr>
        <w:t>;21:16</w:t>
      </w:r>
      <w:proofErr w:type="gramEnd"/>
      <w:r w:rsidRPr="00D86B70">
        <w:rPr>
          <w:rFonts w:asciiTheme="majorHAnsi" w:hAnsiTheme="majorHAnsi"/>
          <w:sz w:val="18"/>
          <w:szCs w:val="18"/>
        </w:rPr>
        <w:t xml:space="preserve">-055. DOI: </w:t>
      </w:r>
      <w:hyperlink r:id="rId6" w:history="1">
        <w:r w:rsidR="002522DA" w:rsidRPr="004528ED">
          <w:rPr>
            <w:rStyle w:val="Hyperlink"/>
            <w:rFonts w:asciiTheme="majorHAnsi" w:hAnsiTheme="majorHAnsi"/>
            <w:sz w:val="18"/>
            <w:szCs w:val="18"/>
          </w:rPr>
          <w:t>https://doi.org/10.7812/TPP/16-055</w:t>
        </w:r>
      </w:hyperlink>
      <w:r w:rsidRPr="00D86B70">
        <w:rPr>
          <w:rFonts w:asciiTheme="majorHAnsi" w:hAnsiTheme="majorHAnsi"/>
          <w:sz w:val="18"/>
          <w:szCs w:val="18"/>
        </w:rPr>
        <w:t>.</w:t>
      </w:r>
    </w:p>
    <w:p w14:paraId="3A14C54D" w14:textId="77777777" w:rsidR="002522DA" w:rsidRPr="002522DA" w:rsidRDefault="002522DA" w:rsidP="002522DA">
      <w:pPr>
        <w:rPr>
          <w:rFonts w:asciiTheme="majorHAnsi" w:hAnsiTheme="majorHAnsi"/>
          <w:sz w:val="18"/>
          <w:szCs w:val="18"/>
        </w:rPr>
      </w:pPr>
      <w:r w:rsidRPr="002522DA">
        <w:rPr>
          <w:rFonts w:asciiTheme="majorHAnsi" w:hAnsiTheme="majorHAnsi"/>
          <w:sz w:val="18"/>
          <w:szCs w:val="18"/>
        </w:rPr>
        <w:t>The Lifelong Effects of Early Childhood Adversity and Toxic Stress</w:t>
      </w:r>
    </w:p>
    <w:p w14:paraId="49E1DDE2" w14:textId="77777777" w:rsidR="002522DA" w:rsidRPr="002522DA" w:rsidRDefault="002522DA" w:rsidP="002522DA">
      <w:pPr>
        <w:rPr>
          <w:rFonts w:asciiTheme="majorHAnsi" w:hAnsiTheme="majorHAnsi"/>
          <w:sz w:val="18"/>
          <w:szCs w:val="18"/>
        </w:rPr>
      </w:pPr>
      <w:r w:rsidRPr="002522DA">
        <w:rPr>
          <w:rFonts w:asciiTheme="majorHAnsi" w:hAnsiTheme="majorHAnsi"/>
          <w:sz w:val="18"/>
          <w:szCs w:val="18"/>
        </w:rPr>
        <w:t xml:space="preserve">Jack P. </w:t>
      </w:r>
      <w:proofErr w:type="spellStart"/>
      <w:r w:rsidRPr="002522DA">
        <w:rPr>
          <w:rFonts w:asciiTheme="majorHAnsi" w:hAnsiTheme="majorHAnsi"/>
          <w:sz w:val="18"/>
          <w:szCs w:val="18"/>
        </w:rPr>
        <w:t>Shonkoff</w:t>
      </w:r>
      <w:proofErr w:type="spellEnd"/>
      <w:r w:rsidRPr="002522DA">
        <w:rPr>
          <w:rFonts w:asciiTheme="majorHAnsi" w:hAnsiTheme="majorHAnsi"/>
          <w:sz w:val="18"/>
          <w:szCs w:val="18"/>
        </w:rPr>
        <w:t xml:space="preserve">, Andrew S. Garner, THE COMMITTEE ON PSYCHOSOCIAL ASPECTS OF CHILD AND FAMILY HEALTH, COMMITTEE ON EARLY CHILDHOOD, ADOPTION, AND DEPENDENT CARE, AND SECTION ON DEVELOPMENTAL AND BEHAVIORAL PEDIATRICS, Benjamin S. Siegel, Mary I. Dobbins, Marian F. Earls, Andrew S. Garner, Laura </w:t>
      </w:r>
      <w:proofErr w:type="spellStart"/>
      <w:r w:rsidRPr="002522DA">
        <w:rPr>
          <w:rFonts w:asciiTheme="majorHAnsi" w:hAnsiTheme="majorHAnsi"/>
          <w:sz w:val="18"/>
          <w:szCs w:val="18"/>
        </w:rPr>
        <w:t>McGuinn</w:t>
      </w:r>
      <w:proofErr w:type="spellEnd"/>
      <w:r w:rsidRPr="002522DA">
        <w:rPr>
          <w:rFonts w:asciiTheme="majorHAnsi" w:hAnsiTheme="majorHAnsi"/>
          <w:sz w:val="18"/>
          <w:szCs w:val="18"/>
        </w:rPr>
        <w:t>, John Pascoe, David L. Wood</w:t>
      </w:r>
    </w:p>
    <w:p w14:paraId="790A08CE" w14:textId="77777777" w:rsidR="002522DA" w:rsidRDefault="002522DA" w:rsidP="002522DA">
      <w:pPr>
        <w:rPr>
          <w:rFonts w:asciiTheme="majorHAnsi" w:hAnsiTheme="majorHAnsi"/>
          <w:sz w:val="18"/>
          <w:szCs w:val="18"/>
        </w:rPr>
      </w:pPr>
      <w:r w:rsidRPr="002522DA">
        <w:rPr>
          <w:rFonts w:asciiTheme="majorHAnsi" w:hAnsiTheme="majorHAnsi"/>
          <w:sz w:val="18"/>
          <w:szCs w:val="18"/>
        </w:rPr>
        <w:t xml:space="preserve">Pediatrics Jan 2012, 129 (1) e232-e246; DOI: 10.1542/peds.2011-2663 </w:t>
      </w:r>
    </w:p>
    <w:p w14:paraId="66312A83" w14:textId="77777777" w:rsidR="002522DA" w:rsidRPr="002522DA" w:rsidRDefault="002522DA" w:rsidP="002522DA">
      <w:pPr>
        <w:rPr>
          <w:rFonts w:asciiTheme="majorHAnsi" w:hAnsiTheme="majorHAnsi"/>
          <w:sz w:val="18"/>
          <w:szCs w:val="18"/>
        </w:rPr>
      </w:pPr>
      <w:r w:rsidRPr="002522DA">
        <w:rPr>
          <w:rFonts w:asciiTheme="majorHAnsi" w:hAnsiTheme="majorHAnsi"/>
          <w:sz w:val="18"/>
          <w:szCs w:val="18"/>
        </w:rPr>
        <w:t>Early Childhood Adversity, Toxic Stress, and the Role of the Pediatrician: Translating Developmental Science Into Lifelong Health</w:t>
      </w:r>
    </w:p>
    <w:p w14:paraId="0738E00D" w14:textId="77777777" w:rsidR="002522DA" w:rsidRPr="002522DA" w:rsidRDefault="002522DA" w:rsidP="002522DA">
      <w:pPr>
        <w:rPr>
          <w:rFonts w:asciiTheme="majorHAnsi" w:hAnsiTheme="majorHAnsi"/>
          <w:sz w:val="18"/>
          <w:szCs w:val="18"/>
        </w:rPr>
      </w:pPr>
      <w:r w:rsidRPr="002522DA">
        <w:rPr>
          <w:rFonts w:asciiTheme="majorHAnsi" w:hAnsiTheme="majorHAnsi"/>
          <w:sz w:val="18"/>
          <w:szCs w:val="18"/>
        </w:rPr>
        <w:t xml:space="preserve">Committee on Psychosocial Aspects of Child and Family Health, Committee on Early Childhood, Adoption, and Dependent Care, and Section on Developmental and Behavioral Pediatrics, Andrew S. Garner, Jack P. </w:t>
      </w:r>
      <w:proofErr w:type="spellStart"/>
      <w:r w:rsidRPr="002522DA">
        <w:rPr>
          <w:rFonts w:asciiTheme="majorHAnsi" w:hAnsiTheme="majorHAnsi"/>
          <w:sz w:val="18"/>
          <w:szCs w:val="18"/>
        </w:rPr>
        <w:t>Shonkoff</w:t>
      </w:r>
      <w:proofErr w:type="spellEnd"/>
      <w:r w:rsidRPr="002522DA">
        <w:rPr>
          <w:rFonts w:asciiTheme="majorHAnsi" w:hAnsiTheme="majorHAnsi"/>
          <w:sz w:val="18"/>
          <w:szCs w:val="18"/>
        </w:rPr>
        <w:t xml:space="preserve">, Benjamin S. Siegel, Mary I. Dobbins, Marian F. Earls, Andrew S. Garner, Laura </w:t>
      </w:r>
      <w:proofErr w:type="spellStart"/>
      <w:r w:rsidRPr="002522DA">
        <w:rPr>
          <w:rFonts w:asciiTheme="majorHAnsi" w:hAnsiTheme="majorHAnsi"/>
          <w:sz w:val="18"/>
          <w:szCs w:val="18"/>
        </w:rPr>
        <w:t>McGuinn</w:t>
      </w:r>
      <w:proofErr w:type="spellEnd"/>
      <w:r w:rsidRPr="002522DA">
        <w:rPr>
          <w:rFonts w:asciiTheme="majorHAnsi" w:hAnsiTheme="majorHAnsi"/>
          <w:sz w:val="18"/>
          <w:szCs w:val="18"/>
        </w:rPr>
        <w:t>, John Pascoe, David L. Wood</w:t>
      </w:r>
    </w:p>
    <w:p w14:paraId="2BF7FAE3" w14:textId="77777777" w:rsidR="002522DA" w:rsidRPr="002522DA" w:rsidRDefault="002522DA" w:rsidP="002522DA">
      <w:pPr>
        <w:rPr>
          <w:rFonts w:asciiTheme="majorHAnsi" w:hAnsiTheme="majorHAnsi"/>
          <w:sz w:val="18"/>
          <w:szCs w:val="18"/>
        </w:rPr>
      </w:pPr>
      <w:r w:rsidRPr="002522DA">
        <w:rPr>
          <w:rFonts w:asciiTheme="majorHAnsi" w:hAnsiTheme="majorHAnsi"/>
          <w:sz w:val="18"/>
          <w:szCs w:val="18"/>
        </w:rPr>
        <w:t xml:space="preserve">Pediatrics Jan 2012, 129 (1) e224-e231; DOI: 10.1542/peds.2011-2662 </w:t>
      </w:r>
    </w:p>
    <w:p w14:paraId="4CBECA16" w14:textId="77777777" w:rsidR="002522DA" w:rsidRPr="002522DA" w:rsidRDefault="002522DA" w:rsidP="002522DA">
      <w:pPr>
        <w:rPr>
          <w:rFonts w:asciiTheme="majorHAnsi" w:hAnsiTheme="majorHAnsi"/>
          <w:sz w:val="18"/>
          <w:szCs w:val="18"/>
        </w:rPr>
      </w:pPr>
      <w:bookmarkStart w:id="0" w:name="_GoBack"/>
      <w:bookmarkEnd w:id="0"/>
    </w:p>
    <w:p w14:paraId="2E91F7ED" w14:textId="77777777" w:rsidR="002522DA" w:rsidRPr="00D86B70" w:rsidRDefault="002522DA">
      <w:pPr>
        <w:rPr>
          <w:rFonts w:asciiTheme="majorHAnsi" w:hAnsiTheme="majorHAnsi"/>
          <w:sz w:val="18"/>
          <w:szCs w:val="18"/>
        </w:rPr>
      </w:pPr>
    </w:p>
    <w:sectPr w:rsidR="002522DA" w:rsidRPr="00D86B70" w:rsidSect="00841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7274"/>
    <w:multiLevelType w:val="hybridMultilevel"/>
    <w:tmpl w:val="2BBC3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DC37AA"/>
    <w:multiLevelType w:val="hybridMultilevel"/>
    <w:tmpl w:val="64E0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9172ED"/>
    <w:multiLevelType w:val="hybridMultilevel"/>
    <w:tmpl w:val="767A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4F2EC6"/>
    <w:multiLevelType w:val="hybridMultilevel"/>
    <w:tmpl w:val="6444F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C7601B"/>
    <w:multiLevelType w:val="hybridMultilevel"/>
    <w:tmpl w:val="5064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11E"/>
    <w:rsid w:val="000D24BB"/>
    <w:rsid w:val="00147E14"/>
    <w:rsid w:val="002522DA"/>
    <w:rsid w:val="00263D1F"/>
    <w:rsid w:val="00286CE9"/>
    <w:rsid w:val="0029711E"/>
    <w:rsid w:val="002A7A42"/>
    <w:rsid w:val="002D6FB2"/>
    <w:rsid w:val="003649CA"/>
    <w:rsid w:val="0036728D"/>
    <w:rsid w:val="003A096D"/>
    <w:rsid w:val="003F05AD"/>
    <w:rsid w:val="004063AF"/>
    <w:rsid w:val="00460851"/>
    <w:rsid w:val="00481796"/>
    <w:rsid w:val="004C611E"/>
    <w:rsid w:val="004D3A76"/>
    <w:rsid w:val="005062AF"/>
    <w:rsid w:val="00553F20"/>
    <w:rsid w:val="005723EC"/>
    <w:rsid w:val="00692133"/>
    <w:rsid w:val="00706251"/>
    <w:rsid w:val="00723D1C"/>
    <w:rsid w:val="007B5297"/>
    <w:rsid w:val="00834E55"/>
    <w:rsid w:val="00841616"/>
    <w:rsid w:val="008E13BE"/>
    <w:rsid w:val="008E378A"/>
    <w:rsid w:val="00922D98"/>
    <w:rsid w:val="00A10277"/>
    <w:rsid w:val="00B32639"/>
    <w:rsid w:val="00B97D44"/>
    <w:rsid w:val="00BB35C0"/>
    <w:rsid w:val="00BE3420"/>
    <w:rsid w:val="00BF39EA"/>
    <w:rsid w:val="00C25BB3"/>
    <w:rsid w:val="00C5453D"/>
    <w:rsid w:val="00C72F9B"/>
    <w:rsid w:val="00C972F3"/>
    <w:rsid w:val="00D03778"/>
    <w:rsid w:val="00D86B70"/>
    <w:rsid w:val="00DC16CF"/>
    <w:rsid w:val="00E539C7"/>
    <w:rsid w:val="00E77655"/>
    <w:rsid w:val="00E952C5"/>
    <w:rsid w:val="00FF7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7D6E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72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72F3"/>
    <w:pPr>
      <w:ind w:left="720"/>
      <w:contextualSpacing/>
    </w:pPr>
  </w:style>
  <w:style w:type="table" w:styleId="LightShading">
    <w:name w:val="Light Shading"/>
    <w:basedOn w:val="TableNormal"/>
    <w:uiPriority w:val="60"/>
    <w:rsid w:val="00B3263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B3263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DefaultParagraphFont"/>
    <w:uiPriority w:val="99"/>
    <w:unhideWhenUsed/>
    <w:rsid w:val="002522D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72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72F3"/>
    <w:pPr>
      <w:ind w:left="720"/>
      <w:contextualSpacing/>
    </w:pPr>
  </w:style>
  <w:style w:type="table" w:styleId="LightShading">
    <w:name w:val="Light Shading"/>
    <w:basedOn w:val="TableNormal"/>
    <w:uiPriority w:val="60"/>
    <w:rsid w:val="00B3263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B32639"/>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DefaultParagraphFont"/>
    <w:uiPriority w:val="99"/>
    <w:unhideWhenUsed/>
    <w:rsid w:val="002522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54179">
      <w:bodyDiv w:val="1"/>
      <w:marLeft w:val="0"/>
      <w:marRight w:val="0"/>
      <w:marTop w:val="0"/>
      <w:marBottom w:val="0"/>
      <w:divBdr>
        <w:top w:val="none" w:sz="0" w:space="0" w:color="auto"/>
        <w:left w:val="none" w:sz="0" w:space="0" w:color="auto"/>
        <w:bottom w:val="none" w:sz="0" w:space="0" w:color="auto"/>
        <w:right w:val="none" w:sz="0" w:space="0" w:color="auto"/>
      </w:divBdr>
      <w:divsChild>
        <w:div w:id="615260416">
          <w:marLeft w:val="0"/>
          <w:marRight w:val="0"/>
          <w:marTop w:val="0"/>
          <w:marBottom w:val="0"/>
          <w:divBdr>
            <w:top w:val="none" w:sz="0" w:space="0" w:color="auto"/>
            <w:left w:val="none" w:sz="0" w:space="0" w:color="auto"/>
            <w:bottom w:val="none" w:sz="0" w:space="0" w:color="auto"/>
            <w:right w:val="none" w:sz="0" w:space="0" w:color="auto"/>
          </w:divBdr>
        </w:div>
      </w:divsChild>
    </w:div>
    <w:div w:id="235941720">
      <w:bodyDiv w:val="1"/>
      <w:marLeft w:val="0"/>
      <w:marRight w:val="0"/>
      <w:marTop w:val="0"/>
      <w:marBottom w:val="0"/>
      <w:divBdr>
        <w:top w:val="none" w:sz="0" w:space="0" w:color="auto"/>
        <w:left w:val="none" w:sz="0" w:space="0" w:color="auto"/>
        <w:bottom w:val="none" w:sz="0" w:space="0" w:color="auto"/>
        <w:right w:val="none" w:sz="0" w:space="0" w:color="auto"/>
      </w:divBdr>
      <w:divsChild>
        <w:div w:id="2018463546">
          <w:marLeft w:val="0"/>
          <w:marRight w:val="0"/>
          <w:marTop w:val="0"/>
          <w:marBottom w:val="0"/>
          <w:divBdr>
            <w:top w:val="none" w:sz="0" w:space="0" w:color="auto"/>
            <w:left w:val="none" w:sz="0" w:space="0" w:color="auto"/>
            <w:bottom w:val="none" w:sz="0" w:space="0" w:color="auto"/>
            <w:right w:val="none" w:sz="0" w:space="0" w:color="auto"/>
          </w:divBdr>
        </w:div>
      </w:divsChild>
    </w:div>
    <w:div w:id="391658140">
      <w:bodyDiv w:val="1"/>
      <w:marLeft w:val="0"/>
      <w:marRight w:val="0"/>
      <w:marTop w:val="0"/>
      <w:marBottom w:val="0"/>
      <w:divBdr>
        <w:top w:val="none" w:sz="0" w:space="0" w:color="auto"/>
        <w:left w:val="none" w:sz="0" w:space="0" w:color="auto"/>
        <w:bottom w:val="none" w:sz="0" w:space="0" w:color="auto"/>
        <w:right w:val="none" w:sz="0" w:space="0" w:color="auto"/>
      </w:divBdr>
      <w:divsChild>
        <w:div w:id="1419521461">
          <w:marLeft w:val="0"/>
          <w:marRight w:val="0"/>
          <w:marTop w:val="0"/>
          <w:marBottom w:val="0"/>
          <w:divBdr>
            <w:top w:val="none" w:sz="0" w:space="0" w:color="auto"/>
            <w:left w:val="none" w:sz="0" w:space="0" w:color="auto"/>
            <w:bottom w:val="none" w:sz="0" w:space="0" w:color="auto"/>
            <w:right w:val="none" w:sz="0" w:space="0" w:color="auto"/>
          </w:divBdr>
        </w:div>
      </w:divsChild>
    </w:div>
    <w:div w:id="427777290">
      <w:bodyDiv w:val="1"/>
      <w:marLeft w:val="0"/>
      <w:marRight w:val="0"/>
      <w:marTop w:val="0"/>
      <w:marBottom w:val="0"/>
      <w:divBdr>
        <w:top w:val="none" w:sz="0" w:space="0" w:color="auto"/>
        <w:left w:val="none" w:sz="0" w:space="0" w:color="auto"/>
        <w:bottom w:val="none" w:sz="0" w:space="0" w:color="auto"/>
        <w:right w:val="none" w:sz="0" w:space="0" w:color="auto"/>
      </w:divBdr>
      <w:divsChild>
        <w:div w:id="1717848687">
          <w:marLeft w:val="0"/>
          <w:marRight w:val="0"/>
          <w:marTop w:val="0"/>
          <w:marBottom w:val="0"/>
          <w:divBdr>
            <w:top w:val="none" w:sz="0" w:space="0" w:color="auto"/>
            <w:left w:val="none" w:sz="0" w:space="0" w:color="auto"/>
            <w:bottom w:val="none" w:sz="0" w:space="0" w:color="auto"/>
            <w:right w:val="none" w:sz="0" w:space="0" w:color="auto"/>
          </w:divBdr>
          <w:divsChild>
            <w:div w:id="1085613695">
              <w:marLeft w:val="0"/>
              <w:marRight w:val="0"/>
              <w:marTop w:val="0"/>
              <w:marBottom w:val="0"/>
              <w:divBdr>
                <w:top w:val="none" w:sz="0" w:space="0" w:color="auto"/>
                <w:left w:val="none" w:sz="0" w:space="0" w:color="auto"/>
                <w:bottom w:val="none" w:sz="0" w:space="0" w:color="auto"/>
                <w:right w:val="none" w:sz="0" w:space="0" w:color="auto"/>
              </w:divBdr>
              <w:divsChild>
                <w:div w:id="253250920">
                  <w:marLeft w:val="0"/>
                  <w:marRight w:val="0"/>
                  <w:marTop w:val="0"/>
                  <w:marBottom w:val="0"/>
                  <w:divBdr>
                    <w:top w:val="none" w:sz="0" w:space="0" w:color="auto"/>
                    <w:left w:val="none" w:sz="0" w:space="0" w:color="auto"/>
                    <w:bottom w:val="none" w:sz="0" w:space="0" w:color="auto"/>
                    <w:right w:val="none" w:sz="0" w:space="0" w:color="auto"/>
                  </w:divBdr>
                  <w:divsChild>
                    <w:div w:id="303389453">
                      <w:marLeft w:val="0"/>
                      <w:marRight w:val="0"/>
                      <w:marTop w:val="0"/>
                      <w:marBottom w:val="0"/>
                      <w:divBdr>
                        <w:top w:val="none" w:sz="0" w:space="0" w:color="auto"/>
                        <w:left w:val="none" w:sz="0" w:space="0" w:color="auto"/>
                        <w:bottom w:val="none" w:sz="0" w:space="0" w:color="auto"/>
                        <w:right w:val="none" w:sz="0" w:space="0" w:color="auto"/>
                      </w:divBdr>
                    </w:div>
                    <w:div w:id="708334607">
                      <w:marLeft w:val="0"/>
                      <w:marRight w:val="0"/>
                      <w:marTop w:val="0"/>
                      <w:marBottom w:val="0"/>
                      <w:divBdr>
                        <w:top w:val="none" w:sz="0" w:space="0" w:color="auto"/>
                        <w:left w:val="none" w:sz="0" w:space="0" w:color="auto"/>
                        <w:bottom w:val="none" w:sz="0" w:space="0" w:color="auto"/>
                        <w:right w:val="none" w:sz="0" w:space="0" w:color="auto"/>
                      </w:divBdr>
                    </w:div>
                    <w:div w:id="16801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229102">
      <w:bodyDiv w:val="1"/>
      <w:marLeft w:val="0"/>
      <w:marRight w:val="0"/>
      <w:marTop w:val="0"/>
      <w:marBottom w:val="0"/>
      <w:divBdr>
        <w:top w:val="none" w:sz="0" w:space="0" w:color="auto"/>
        <w:left w:val="none" w:sz="0" w:space="0" w:color="auto"/>
        <w:bottom w:val="none" w:sz="0" w:space="0" w:color="auto"/>
        <w:right w:val="none" w:sz="0" w:space="0" w:color="auto"/>
      </w:divBdr>
      <w:divsChild>
        <w:div w:id="32271151">
          <w:marLeft w:val="0"/>
          <w:marRight w:val="0"/>
          <w:marTop w:val="0"/>
          <w:marBottom w:val="0"/>
          <w:divBdr>
            <w:top w:val="none" w:sz="0" w:space="0" w:color="auto"/>
            <w:left w:val="none" w:sz="0" w:space="0" w:color="auto"/>
            <w:bottom w:val="none" w:sz="0" w:space="0" w:color="auto"/>
            <w:right w:val="none" w:sz="0" w:space="0" w:color="auto"/>
          </w:divBdr>
        </w:div>
      </w:divsChild>
    </w:div>
    <w:div w:id="687220968">
      <w:bodyDiv w:val="1"/>
      <w:marLeft w:val="0"/>
      <w:marRight w:val="0"/>
      <w:marTop w:val="0"/>
      <w:marBottom w:val="0"/>
      <w:divBdr>
        <w:top w:val="none" w:sz="0" w:space="0" w:color="auto"/>
        <w:left w:val="none" w:sz="0" w:space="0" w:color="auto"/>
        <w:bottom w:val="none" w:sz="0" w:space="0" w:color="auto"/>
        <w:right w:val="none" w:sz="0" w:space="0" w:color="auto"/>
      </w:divBdr>
      <w:divsChild>
        <w:div w:id="1112625939">
          <w:marLeft w:val="0"/>
          <w:marRight w:val="0"/>
          <w:marTop w:val="0"/>
          <w:marBottom w:val="0"/>
          <w:divBdr>
            <w:top w:val="none" w:sz="0" w:space="0" w:color="auto"/>
            <w:left w:val="none" w:sz="0" w:space="0" w:color="auto"/>
            <w:bottom w:val="none" w:sz="0" w:space="0" w:color="auto"/>
            <w:right w:val="none" w:sz="0" w:space="0" w:color="auto"/>
          </w:divBdr>
        </w:div>
      </w:divsChild>
    </w:div>
    <w:div w:id="875970445">
      <w:bodyDiv w:val="1"/>
      <w:marLeft w:val="0"/>
      <w:marRight w:val="0"/>
      <w:marTop w:val="0"/>
      <w:marBottom w:val="0"/>
      <w:divBdr>
        <w:top w:val="none" w:sz="0" w:space="0" w:color="auto"/>
        <w:left w:val="none" w:sz="0" w:space="0" w:color="auto"/>
        <w:bottom w:val="none" w:sz="0" w:space="0" w:color="auto"/>
        <w:right w:val="none" w:sz="0" w:space="0" w:color="auto"/>
      </w:divBdr>
      <w:divsChild>
        <w:div w:id="226915531">
          <w:marLeft w:val="0"/>
          <w:marRight w:val="0"/>
          <w:marTop w:val="0"/>
          <w:marBottom w:val="0"/>
          <w:divBdr>
            <w:top w:val="none" w:sz="0" w:space="0" w:color="auto"/>
            <w:left w:val="none" w:sz="0" w:space="0" w:color="auto"/>
            <w:bottom w:val="none" w:sz="0" w:space="0" w:color="auto"/>
            <w:right w:val="none" w:sz="0" w:space="0" w:color="auto"/>
          </w:divBdr>
          <w:divsChild>
            <w:div w:id="1916235550">
              <w:marLeft w:val="0"/>
              <w:marRight w:val="0"/>
              <w:marTop w:val="0"/>
              <w:marBottom w:val="0"/>
              <w:divBdr>
                <w:top w:val="none" w:sz="0" w:space="0" w:color="auto"/>
                <w:left w:val="none" w:sz="0" w:space="0" w:color="auto"/>
                <w:bottom w:val="none" w:sz="0" w:space="0" w:color="auto"/>
                <w:right w:val="none" w:sz="0" w:space="0" w:color="auto"/>
              </w:divBdr>
              <w:divsChild>
                <w:div w:id="1677539688">
                  <w:marLeft w:val="0"/>
                  <w:marRight w:val="0"/>
                  <w:marTop w:val="0"/>
                  <w:marBottom w:val="0"/>
                  <w:divBdr>
                    <w:top w:val="none" w:sz="0" w:space="0" w:color="auto"/>
                    <w:left w:val="none" w:sz="0" w:space="0" w:color="auto"/>
                    <w:bottom w:val="none" w:sz="0" w:space="0" w:color="auto"/>
                    <w:right w:val="none" w:sz="0" w:space="0" w:color="auto"/>
                  </w:divBdr>
                  <w:divsChild>
                    <w:div w:id="1873182053">
                      <w:marLeft w:val="0"/>
                      <w:marRight w:val="0"/>
                      <w:marTop w:val="0"/>
                      <w:marBottom w:val="0"/>
                      <w:divBdr>
                        <w:top w:val="none" w:sz="0" w:space="0" w:color="auto"/>
                        <w:left w:val="none" w:sz="0" w:space="0" w:color="auto"/>
                        <w:bottom w:val="none" w:sz="0" w:space="0" w:color="auto"/>
                        <w:right w:val="none" w:sz="0" w:space="0" w:color="auto"/>
                      </w:divBdr>
                    </w:div>
                    <w:div w:id="662784915">
                      <w:marLeft w:val="0"/>
                      <w:marRight w:val="0"/>
                      <w:marTop w:val="0"/>
                      <w:marBottom w:val="0"/>
                      <w:divBdr>
                        <w:top w:val="none" w:sz="0" w:space="0" w:color="auto"/>
                        <w:left w:val="none" w:sz="0" w:space="0" w:color="auto"/>
                        <w:bottom w:val="none" w:sz="0" w:space="0" w:color="auto"/>
                        <w:right w:val="none" w:sz="0" w:space="0" w:color="auto"/>
                      </w:divBdr>
                    </w:div>
                    <w:div w:id="15414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22956">
      <w:bodyDiv w:val="1"/>
      <w:marLeft w:val="0"/>
      <w:marRight w:val="0"/>
      <w:marTop w:val="0"/>
      <w:marBottom w:val="0"/>
      <w:divBdr>
        <w:top w:val="none" w:sz="0" w:space="0" w:color="auto"/>
        <w:left w:val="none" w:sz="0" w:space="0" w:color="auto"/>
        <w:bottom w:val="none" w:sz="0" w:space="0" w:color="auto"/>
        <w:right w:val="none" w:sz="0" w:space="0" w:color="auto"/>
      </w:divBdr>
      <w:divsChild>
        <w:div w:id="142939917">
          <w:marLeft w:val="0"/>
          <w:marRight w:val="0"/>
          <w:marTop w:val="0"/>
          <w:marBottom w:val="0"/>
          <w:divBdr>
            <w:top w:val="none" w:sz="0" w:space="0" w:color="auto"/>
            <w:left w:val="none" w:sz="0" w:space="0" w:color="auto"/>
            <w:bottom w:val="none" w:sz="0" w:space="0" w:color="auto"/>
            <w:right w:val="none" w:sz="0" w:space="0" w:color="auto"/>
          </w:divBdr>
          <w:divsChild>
            <w:div w:id="1522939217">
              <w:marLeft w:val="0"/>
              <w:marRight w:val="0"/>
              <w:marTop w:val="0"/>
              <w:marBottom w:val="0"/>
              <w:divBdr>
                <w:top w:val="none" w:sz="0" w:space="0" w:color="auto"/>
                <w:left w:val="none" w:sz="0" w:space="0" w:color="auto"/>
                <w:bottom w:val="none" w:sz="0" w:space="0" w:color="auto"/>
                <w:right w:val="none" w:sz="0" w:space="0" w:color="auto"/>
              </w:divBdr>
              <w:divsChild>
                <w:div w:id="65883691">
                  <w:marLeft w:val="0"/>
                  <w:marRight w:val="0"/>
                  <w:marTop w:val="0"/>
                  <w:marBottom w:val="0"/>
                  <w:divBdr>
                    <w:top w:val="none" w:sz="0" w:space="0" w:color="auto"/>
                    <w:left w:val="none" w:sz="0" w:space="0" w:color="auto"/>
                    <w:bottom w:val="none" w:sz="0" w:space="0" w:color="auto"/>
                    <w:right w:val="none" w:sz="0" w:space="0" w:color="auto"/>
                  </w:divBdr>
                  <w:divsChild>
                    <w:div w:id="1613123885">
                      <w:marLeft w:val="0"/>
                      <w:marRight w:val="0"/>
                      <w:marTop w:val="0"/>
                      <w:marBottom w:val="0"/>
                      <w:divBdr>
                        <w:top w:val="none" w:sz="0" w:space="0" w:color="auto"/>
                        <w:left w:val="none" w:sz="0" w:space="0" w:color="auto"/>
                        <w:bottom w:val="none" w:sz="0" w:space="0" w:color="auto"/>
                        <w:right w:val="none" w:sz="0" w:space="0" w:color="auto"/>
                      </w:divBdr>
                    </w:div>
                    <w:div w:id="1580167688">
                      <w:marLeft w:val="0"/>
                      <w:marRight w:val="0"/>
                      <w:marTop w:val="0"/>
                      <w:marBottom w:val="0"/>
                      <w:divBdr>
                        <w:top w:val="none" w:sz="0" w:space="0" w:color="auto"/>
                        <w:left w:val="none" w:sz="0" w:space="0" w:color="auto"/>
                        <w:bottom w:val="none" w:sz="0" w:space="0" w:color="auto"/>
                        <w:right w:val="none" w:sz="0" w:space="0" w:color="auto"/>
                      </w:divBdr>
                    </w:div>
                    <w:div w:id="138729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1571">
      <w:bodyDiv w:val="1"/>
      <w:marLeft w:val="0"/>
      <w:marRight w:val="0"/>
      <w:marTop w:val="0"/>
      <w:marBottom w:val="0"/>
      <w:divBdr>
        <w:top w:val="none" w:sz="0" w:space="0" w:color="auto"/>
        <w:left w:val="none" w:sz="0" w:space="0" w:color="auto"/>
        <w:bottom w:val="none" w:sz="0" w:space="0" w:color="auto"/>
        <w:right w:val="none" w:sz="0" w:space="0" w:color="auto"/>
      </w:divBdr>
      <w:divsChild>
        <w:div w:id="939335768">
          <w:marLeft w:val="0"/>
          <w:marRight w:val="0"/>
          <w:marTop w:val="0"/>
          <w:marBottom w:val="0"/>
          <w:divBdr>
            <w:top w:val="none" w:sz="0" w:space="0" w:color="auto"/>
            <w:left w:val="none" w:sz="0" w:space="0" w:color="auto"/>
            <w:bottom w:val="none" w:sz="0" w:space="0" w:color="auto"/>
            <w:right w:val="none" w:sz="0" w:space="0" w:color="auto"/>
          </w:divBdr>
          <w:divsChild>
            <w:div w:id="1481069689">
              <w:marLeft w:val="0"/>
              <w:marRight w:val="0"/>
              <w:marTop w:val="0"/>
              <w:marBottom w:val="0"/>
              <w:divBdr>
                <w:top w:val="none" w:sz="0" w:space="0" w:color="auto"/>
                <w:left w:val="none" w:sz="0" w:space="0" w:color="auto"/>
                <w:bottom w:val="none" w:sz="0" w:space="0" w:color="auto"/>
                <w:right w:val="none" w:sz="0" w:space="0" w:color="auto"/>
              </w:divBdr>
              <w:divsChild>
                <w:div w:id="1188833575">
                  <w:marLeft w:val="0"/>
                  <w:marRight w:val="0"/>
                  <w:marTop w:val="0"/>
                  <w:marBottom w:val="0"/>
                  <w:divBdr>
                    <w:top w:val="none" w:sz="0" w:space="0" w:color="auto"/>
                    <w:left w:val="none" w:sz="0" w:space="0" w:color="auto"/>
                    <w:bottom w:val="none" w:sz="0" w:space="0" w:color="auto"/>
                    <w:right w:val="none" w:sz="0" w:space="0" w:color="auto"/>
                  </w:divBdr>
                  <w:divsChild>
                    <w:div w:id="1341857659">
                      <w:marLeft w:val="0"/>
                      <w:marRight w:val="0"/>
                      <w:marTop w:val="0"/>
                      <w:marBottom w:val="0"/>
                      <w:divBdr>
                        <w:top w:val="none" w:sz="0" w:space="0" w:color="auto"/>
                        <w:left w:val="none" w:sz="0" w:space="0" w:color="auto"/>
                        <w:bottom w:val="none" w:sz="0" w:space="0" w:color="auto"/>
                        <w:right w:val="none" w:sz="0" w:space="0" w:color="auto"/>
                      </w:divBdr>
                    </w:div>
                    <w:div w:id="1127746129">
                      <w:marLeft w:val="0"/>
                      <w:marRight w:val="0"/>
                      <w:marTop w:val="0"/>
                      <w:marBottom w:val="0"/>
                      <w:divBdr>
                        <w:top w:val="none" w:sz="0" w:space="0" w:color="auto"/>
                        <w:left w:val="none" w:sz="0" w:space="0" w:color="auto"/>
                        <w:bottom w:val="none" w:sz="0" w:space="0" w:color="auto"/>
                        <w:right w:val="none" w:sz="0" w:space="0" w:color="auto"/>
                      </w:divBdr>
                    </w:div>
                    <w:div w:id="15712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046846">
      <w:bodyDiv w:val="1"/>
      <w:marLeft w:val="0"/>
      <w:marRight w:val="0"/>
      <w:marTop w:val="0"/>
      <w:marBottom w:val="0"/>
      <w:divBdr>
        <w:top w:val="none" w:sz="0" w:space="0" w:color="auto"/>
        <w:left w:val="none" w:sz="0" w:space="0" w:color="auto"/>
        <w:bottom w:val="none" w:sz="0" w:space="0" w:color="auto"/>
        <w:right w:val="none" w:sz="0" w:space="0" w:color="auto"/>
      </w:divBdr>
      <w:divsChild>
        <w:div w:id="148444311">
          <w:marLeft w:val="0"/>
          <w:marRight w:val="0"/>
          <w:marTop w:val="0"/>
          <w:marBottom w:val="0"/>
          <w:divBdr>
            <w:top w:val="none" w:sz="0" w:space="0" w:color="auto"/>
            <w:left w:val="none" w:sz="0" w:space="0" w:color="auto"/>
            <w:bottom w:val="none" w:sz="0" w:space="0" w:color="auto"/>
            <w:right w:val="none" w:sz="0" w:space="0" w:color="auto"/>
          </w:divBdr>
        </w:div>
      </w:divsChild>
    </w:div>
    <w:div w:id="2017921910">
      <w:bodyDiv w:val="1"/>
      <w:marLeft w:val="0"/>
      <w:marRight w:val="0"/>
      <w:marTop w:val="0"/>
      <w:marBottom w:val="0"/>
      <w:divBdr>
        <w:top w:val="none" w:sz="0" w:space="0" w:color="auto"/>
        <w:left w:val="none" w:sz="0" w:space="0" w:color="auto"/>
        <w:bottom w:val="none" w:sz="0" w:space="0" w:color="auto"/>
        <w:right w:val="none" w:sz="0" w:space="0" w:color="auto"/>
      </w:divBdr>
      <w:divsChild>
        <w:div w:id="1176114914">
          <w:marLeft w:val="0"/>
          <w:marRight w:val="0"/>
          <w:marTop w:val="0"/>
          <w:marBottom w:val="0"/>
          <w:divBdr>
            <w:top w:val="none" w:sz="0" w:space="0" w:color="auto"/>
            <w:left w:val="none" w:sz="0" w:space="0" w:color="auto"/>
            <w:bottom w:val="none" w:sz="0" w:space="0" w:color="auto"/>
            <w:right w:val="none" w:sz="0" w:space="0" w:color="auto"/>
          </w:divBdr>
        </w:div>
      </w:divsChild>
    </w:div>
    <w:div w:id="2123960494">
      <w:bodyDiv w:val="1"/>
      <w:marLeft w:val="0"/>
      <w:marRight w:val="0"/>
      <w:marTop w:val="0"/>
      <w:marBottom w:val="0"/>
      <w:divBdr>
        <w:top w:val="none" w:sz="0" w:space="0" w:color="auto"/>
        <w:left w:val="none" w:sz="0" w:space="0" w:color="auto"/>
        <w:bottom w:val="none" w:sz="0" w:space="0" w:color="auto"/>
        <w:right w:val="none" w:sz="0" w:space="0" w:color="auto"/>
      </w:divBdr>
      <w:divsChild>
        <w:div w:id="13028925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doi.org/10.7812/TPP/16-055"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1370</Words>
  <Characters>7809</Characters>
  <Application>Microsoft Macintosh Word</Application>
  <DocSecurity>0</DocSecurity>
  <Lines>65</Lines>
  <Paragraphs>18</Paragraphs>
  <ScaleCrop>false</ScaleCrop>
  <Company/>
  <LinksUpToDate>false</LinksUpToDate>
  <CharactersWithSpaces>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Kadiatou Koita</dc:creator>
  <cp:keywords/>
  <dc:description/>
  <cp:lastModifiedBy>Kadiatou Koita</cp:lastModifiedBy>
  <cp:revision>16</cp:revision>
  <dcterms:created xsi:type="dcterms:W3CDTF">2017-04-19T06:18:00Z</dcterms:created>
  <dcterms:modified xsi:type="dcterms:W3CDTF">2017-04-19T08:04:00Z</dcterms:modified>
</cp:coreProperties>
</file>