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2C7F8" w14:textId="77777777" w:rsidR="0059523F" w:rsidRDefault="002B705D" w:rsidP="00D14693">
      <w:pPr>
        <w:pStyle w:val="Heading2"/>
      </w:pPr>
      <w:r>
        <w:t>Week 4 Homework</w:t>
      </w:r>
      <w:r w:rsidR="00D14693">
        <w:t xml:space="preserve">  - Epidemiology 245 (Spring 2017)</w:t>
      </w:r>
    </w:p>
    <w:p w14:paraId="11FE7FCA" w14:textId="77777777" w:rsidR="00D14693" w:rsidRDefault="00D14693"/>
    <w:p w14:paraId="6B792440" w14:textId="77777777" w:rsidR="002B705D" w:rsidRDefault="00F90203">
      <w:r>
        <w:t>Please read these two following articles</w:t>
      </w:r>
      <w:r w:rsidR="00D14693">
        <w:t>:</w:t>
      </w:r>
    </w:p>
    <w:p w14:paraId="21708A1D" w14:textId="77777777" w:rsidR="00F90203" w:rsidRDefault="00F90203"/>
    <w:p w14:paraId="756F2C82" w14:textId="77777777" w:rsidR="00F90203" w:rsidRDefault="00F90203" w:rsidP="00F90203">
      <w:pPr>
        <w:pStyle w:val="ListParagraph"/>
        <w:numPr>
          <w:ilvl w:val="0"/>
          <w:numId w:val="1"/>
        </w:numPr>
      </w:pPr>
      <w:proofErr w:type="spellStart"/>
      <w:r w:rsidRPr="00F90203">
        <w:t>Amanyire</w:t>
      </w:r>
      <w:proofErr w:type="spellEnd"/>
      <w:r w:rsidRPr="00F90203">
        <w:t>, Gideon, et al. "Effects of a multicomponent intervention to streamline initiation of antiretroviral therapy in Africa: a stepped-wedge cluster-</w:t>
      </w:r>
      <w:proofErr w:type="spellStart"/>
      <w:r w:rsidRPr="00F90203">
        <w:t>randomised</w:t>
      </w:r>
      <w:proofErr w:type="spellEnd"/>
      <w:r w:rsidRPr="00F90203">
        <w:t xml:space="preserve"> trial." The Lancet HIV 3.11 (2016): e539-e548.</w:t>
      </w:r>
    </w:p>
    <w:p w14:paraId="450B7D59" w14:textId="77777777" w:rsidR="002B705D" w:rsidRDefault="002B705D"/>
    <w:p w14:paraId="64D49E90" w14:textId="77777777" w:rsidR="002B705D" w:rsidRDefault="00F90203" w:rsidP="00B54412">
      <w:pPr>
        <w:pStyle w:val="ListParagraph"/>
        <w:numPr>
          <w:ilvl w:val="0"/>
          <w:numId w:val="1"/>
        </w:numPr>
      </w:pPr>
      <w:r w:rsidRPr="00F90203">
        <w:t xml:space="preserve">Rosen, Sydney, et al. "Initiating antiretroviral therapy for HIV at a patient’s first clinic visit: the </w:t>
      </w:r>
      <w:proofErr w:type="spellStart"/>
      <w:r w:rsidRPr="00F90203">
        <w:t>RapIT</w:t>
      </w:r>
      <w:proofErr w:type="spellEnd"/>
      <w:r w:rsidRPr="00F90203">
        <w:t xml:space="preserve"> randomized controlled trial." </w:t>
      </w:r>
      <w:proofErr w:type="spellStart"/>
      <w:r w:rsidRPr="00F90203">
        <w:t>PLoS</w:t>
      </w:r>
      <w:proofErr w:type="spellEnd"/>
      <w:r w:rsidRPr="00F90203">
        <w:t xml:space="preserve"> Med 13.5 (2016): e1002015.</w:t>
      </w:r>
    </w:p>
    <w:p w14:paraId="4BD3F558" w14:textId="77777777" w:rsidR="002B705D" w:rsidRDefault="002B705D"/>
    <w:p w14:paraId="1D78148D" w14:textId="77777777" w:rsidR="002B705D" w:rsidRDefault="00D14693">
      <w:r>
        <w:t xml:space="preserve">Please go through each of the </w:t>
      </w:r>
      <w:r w:rsidR="002B705D">
        <w:t xml:space="preserve">PRECIS-2 </w:t>
      </w:r>
      <w:r w:rsidR="007A35A9">
        <w:t>domains and give it a</w:t>
      </w:r>
      <w:r>
        <w:t xml:space="preserve"> suggested or approximate score, and a few sentences on </w:t>
      </w:r>
      <w:proofErr w:type="gramStart"/>
      <w:r>
        <w:t>yours</w:t>
      </w:r>
      <w:proofErr w:type="gramEnd"/>
      <w:r>
        <w:t xml:space="preserve"> justification. </w:t>
      </w:r>
    </w:p>
    <w:p w14:paraId="22B92810" w14:textId="77777777" w:rsidR="00E02C20" w:rsidRDefault="00E02C20"/>
    <w:p w14:paraId="3442A230" w14:textId="77777777" w:rsidR="00745DF3" w:rsidRDefault="00745DF3" w:rsidP="00307752">
      <w:r>
        <w:t xml:space="preserve">Step 1: Both studies recognize that </w:t>
      </w:r>
      <w:r w:rsidR="00307752">
        <w:t xml:space="preserve">barriers in linkage to care are diverse and extend from provider motivation/education, number of clinic/adherence visits and feedback of performance. However, in the difference is that </w:t>
      </w:r>
      <w:proofErr w:type="spellStart"/>
      <w:r w:rsidR="00307752">
        <w:t>Amanyire</w:t>
      </w:r>
      <w:proofErr w:type="spellEnd"/>
      <w:r w:rsidR="00307752">
        <w:t xml:space="preserve"> designed the intervention to take place at the clinic level, addressing POC testing, provider education and feedback to clinic supervisors, whereas Rosen et al intervene at the individual level, evaluating POC CD4, which has already been validated to reduce time to initiation of ARVs.</w:t>
      </w:r>
    </w:p>
    <w:p w14:paraId="7B54E400" w14:textId="77777777" w:rsidR="00307752" w:rsidRDefault="00307752" w:rsidP="00307752"/>
    <w:p w14:paraId="02BBC8AB" w14:textId="77777777" w:rsidR="00E02C20" w:rsidRPr="007A35A9" w:rsidRDefault="00E02C20">
      <w:pPr>
        <w:rPr>
          <w:u w:val="single"/>
        </w:rPr>
      </w:pPr>
      <w:r w:rsidRPr="007A35A9">
        <w:rPr>
          <w:u w:val="single"/>
        </w:rPr>
        <w:t>Eligibility</w:t>
      </w:r>
    </w:p>
    <w:p w14:paraId="790DF48D" w14:textId="77777777" w:rsidR="00E02C20" w:rsidRPr="00307752" w:rsidRDefault="00E02C20">
      <w:r w:rsidRPr="00307752">
        <w:t xml:space="preserve">- </w:t>
      </w:r>
      <w:proofErr w:type="spellStart"/>
      <w:r w:rsidR="00F73505" w:rsidRPr="00307752">
        <w:t>Amanyire</w:t>
      </w:r>
      <w:proofErr w:type="spellEnd"/>
      <w:r w:rsidR="00F73505" w:rsidRPr="00307752">
        <w:t xml:space="preserve"> et al: </w:t>
      </w:r>
      <w:r w:rsidR="00307752">
        <w:t>5 – as this is a clinic intervention, every patient who enrolls in the clinic is taking part of the intervention or control arm.</w:t>
      </w:r>
    </w:p>
    <w:p w14:paraId="276BBA6A" w14:textId="77777777" w:rsidR="00F73505" w:rsidRDefault="00307752" w:rsidP="00307752">
      <w:r w:rsidRPr="00307752">
        <w:t xml:space="preserve">- Rosen et al: </w:t>
      </w:r>
      <w:r>
        <w:t xml:space="preserve">3 - about 25% of patients screened were randomized, which is not typically what happens in real-world clinic settings. </w:t>
      </w:r>
      <w:r w:rsidR="006E21B3">
        <w:t xml:space="preserve">Misses pregnant patients, patients that may be difficult to retain in care. </w:t>
      </w:r>
    </w:p>
    <w:p w14:paraId="6ADB425B" w14:textId="77777777" w:rsidR="006E21B3" w:rsidRPr="007A35A9" w:rsidRDefault="006E21B3" w:rsidP="00307752">
      <w:pPr>
        <w:rPr>
          <w:u w:val="single"/>
        </w:rPr>
      </w:pPr>
      <w:r w:rsidRPr="007A35A9">
        <w:rPr>
          <w:u w:val="single"/>
        </w:rPr>
        <w:t>Recruitment</w:t>
      </w:r>
    </w:p>
    <w:p w14:paraId="788D92B1" w14:textId="77777777" w:rsidR="007A35A9" w:rsidRPr="00877D80" w:rsidRDefault="007A35A9" w:rsidP="00307752">
      <w:r w:rsidRPr="00877D80">
        <w:t xml:space="preserve">- </w:t>
      </w:r>
      <w:proofErr w:type="spellStart"/>
      <w:r w:rsidRPr="00877D80">
        <w:t>Amanyire</w:t>
      </w:r>
      <w:proofErr w:type="spellEnd"/>
      <w:r w:rsidRPr="00877D80">
        <w:t xml:space="preserve"> et al:</w:t>
      </w:r>
      <w:r w:rsidR="00877D80" w:rsidRPr="00877D80">
        <w:t xml:space="preserve"> 5 </w:t>
      </w:r>
      <w:r w:rsidR="00877D80">
        <w:t xml:space="preserve">– petitioned clinic sites to participate </w:t>
      </w:r>
    </w:p>
    <w:p w14:paraId="6A419765" w14:textId="77777777" w:rsidR="007A35A9" w:rsidRPr="00877D80" w:rsidRDefault="007A35A9" w:rsidP="00307752">
      <w:r w:rsidRPr="00877D80">
        <w:t>- Rosen et al:</w:t>
      </w:r>
      <w:r w:rsidR="00877D80" w:rsidRPr="00877D80">
        <w:t xml:space="preserve"> 3 – had </w:t>
      </w:r>
      <w:r w:rsidR="00877D80">
        <w:t>on</w:t>
      </w:r>
      <w:r w:rsidR="00877D80" w:rsidRPr="00877D80">
        <w:t>e study recruiter at each site that screened patients</w:t>
      </w:r>
    </w:p>
    <w:p w14:paraId="7159EAB6" w14:textId="77777777" w:rsidR="007A35A9" w:rsidRPr="007A35A9" w:rsidRDefault="007A35A9" w:rsidP="00307752">
      <w:pPr>
        <w:rPr>
          <w:u w:val="single"/>
          <w:lang w:val="nb-NO"/>
        </w:rPr>
      </w:pPr>
      <w:r w:rsidRPr="007A35A9">
        <w:rPr>
          <w:u w:val="single"/>
          <w:lang w:val="nb-NO"/>
        </w:rPr>
        <w:t>Setting</w:t>
      </w:r>
    </w:p>
    <w:p w14:paraId="218E2CF9" w14:textId="77777777" w:rsidR="007A35A9" w:rsidRPr="007A35A9" w:rsidRDefault="007A35A9" w:rsidP="00161DB5">
      <w:r w:rsidRPr="007A35A9">
        <w:t xml:space="preserve">- </w:t>
      </w:r>
      <w:proofErr w:type="spellStart"/>
      <w:r w:rsidRPr="007A35A9">
        <w:t>Amanyire</w:t>
      </w:r>
      <w:proofErr w:type="spellEnd"/>
      <w:r w:rsidRPr="007A35A9">
        <w:t xml:space="preserve"> et al:</w:t>
      </w:r>
      <w:r w:rsidR="00161DB5">
        <w:t xml:space="preserve"> 5</w:t>
      </w:r>
      <w:r w:rsidRPr="007A35A9">
        <w:t xml:space="preserve"> – </w:t>
      </w:r>
      <w:r>
        <w:t xml:space="preserve">diverse set of </w:t>
      </w:r>
      <w:r w:rsidRPr="007A35A9">
        <w:t>outpatient clinic settings</w:t>
      </w:r>
      <w:r>
        <w:t xml:space="preserve">, </w:t>
      </w:r>
      <w:r w:rsidR="00161DB5">
        <w:t xml:space="preserve">which includes </w:t>
      </w:r>
      <w:r>
        <w:t xml:space="preserve">urban </w:t>
      </w:r>
      <w:r w:rsidR="00161DB5">
        <w:t xml:space="preserve">and rural </w:t>
      </w:r>
      <w:r>
        <w:t>areas.</w:t>
      </w:r>
      <w:r w:rsidRPr="007A35A9">
        <w:t xml:space="preserve"> </w:t>
      </w:r>
    </w:p>
    <w:p w14:paraId="666012D0" w14:textId="77777777" w:rsidR="007A35A9" w:rsidRDefault="007A35A9" w:rsidP="007A35A9">
      <w:r w:rsidRPr="007A35A9">
        <w:t>- Rosen et al:</w:t>
      </w:r>
      <w:r w:rsidRPr="007A35A9">
        <w:t xml:space="preserve"> 3 – has only </w:t>
      </w:r>
      <w:r>
        <w:t>urban</w:t>
      </w:r>
      <w:r w:rsidRPr="007A35A9">
        <w:t xml:space="preserve">, </w:t>
      </w:r>
      <w:r>
        <w:t>which means a low diversity of patients, but one hospital-based clinic.</w:t>
      </w:r>
    </w:p>
    <w:p w14:paraId="0EBEA4E9" w14:textId="77777777" w:rsidR="007A35A9" w:rsidRPr="007A35A9" w:rsidRDefault="007A35A9" w:rsidP="007A35A9">
      <w:pPr>
        <w:rPr>
          <w:u w:val="single"/>
        </w:rPr>
      </w:pPr>
      <w:r w:rsidRPr="007A35A9">
        <w:rPr>
          <w:u w:val="single"/>
        </w:rPr>
        <w:t>Organization</w:t>
      </w:r>
    </w:p>
    <w:p w14:paraId="42C92EF9" w14:textId="77777777" w:rsidR="007A35A9" w:rsidRPr="009B7C5E" w:rsidRDefault="007A35A9" w:rsidP="007A35A9">
      <w:r w:rsidRPr="009B7C5E">
        <w:t xml:space="preserve">- </w:t>
      </w:r>
      <w:proofErr w:type="spellStart"/>
      <w:r w:rsidRPr="009B7C5E">
        <w:t>Amanyire</w:t>
      </w:r>
      <w:proofErr w:type="spellEnd"/>
      <w:r w:rsidRPr="009B7C5E">
        <w:t xml:space="preserve"> et al:</w:t>
      </w:r>
      <w:r w:rsidRPr="009B7C5E">
        <w:t xml:space="preserve"> </w:t>
      </w:r>
      <w:r w:rsidR="009B7C5E">
        <w:t>5 This u</w:t>
      </w:r>
      <w:r w:rsidR="009B7C5E" w:rsidRPr="009B7C5E">
        <w:t xml:space="preserve">tilized a small core of trainers, POC testing machines and </w:t>
      </w:r>
      <w:r w:rsidR="009B7C5E">
        <w:t>clinic feedback, all of which are scalable interventions that required minimal changes in the clinic structure.</w:t>
      </w:r>
    </w:p>
    <w:p w14:paraId="3B1BE65E" w14:textId="77777777" w:rsidR="007A35A9" w:rsidRPr="009B7C5E" w:rsidRDefault="007A35A9" w:rsidP="009B7C5E">
      <w:r w:rsidRPr="009B7C5E">
        <w:t>- Rosen et al:</w:t>
      </w:r>
      <w:r w:rsidR="009B7C5E">
        <w:t xml:space="preserve"> 2 – the intervention was essentially an “add-on” or overlay to the existing clinic structure. Study nurses were paid by trial, who ordered and dispensed the ARVs. This did not utilize any existing clinical structures. </w:t>
      </w:r>
    </w:p>
    <w:p w14:paraId="38616ACE" w14:textId="77777777" w:rsidR="00D1553A" w:rsidRDefault="00D1553A" w:rsidP="007A35A9">
      <w:pPr>
        <w:rPr>
          <w:u w:val="single"/>
        </w:rPr>
      </w:pPr>
    </w:p>
    <w:p w14:paraId="0C4B45B1" w14:textId="77777777" w:rsidR="00D1553A" w:rsidRDefault="00D1553A" w:rsidP="007A35A9">
      <w:pPr>
        <w:rPr>
          <w:u w:val="single"/>
        </w:rPr>
      </w:pPr>
    </w:p>
    <w:p w14:paraId="3EBD5D82" w14:textId="77777777" w:rsidR="007A35A9" w:rsidRPr="009B7C5E" w:rsidRDefault="007A35A9" w:rsidP="007A35A9">
      <w:pPr>
        <w:rPr>
          <w:u w:val="single"/>
        </w:rPr>
      </w:pPr>
      <w:r w:rsidRPr="009B7C5E">
        <w:rPr>
          <w:u w:val="single"/>
        </w:rPr>
        <w:t>Flexibility (delivery)</w:t>
      </w:r>
    </w:p>
    <w:p w14:paraId="01B925A3" w14:textId="77777777" w:rsidR="00D1553A" w:rsidRPr="00D1553A" w:rsidRDefault="00D1553A" w:rsidP="00D1553A">
      <w:r w:rsidRPr="00D1553A">
        <w:t xml:space="preserve">- </w:t>
      </w:r>
      <w:proofErr w:type="spellStart"/>
      <w:r w:rsidRPr="00D1553A">
        <w:t>Amanyire</w:t>
      </w:r>
      <w:proofErr w:type="spellEnd"/>
      <w:r w:rsidRPr="00D1553A">
        <w:t xml:space="preserve"> et al: 5 </w:t>
      </w:r>
      <w:r>
        <w:t xml:space="preserve">Allowed the clinics to continue to operate as a they were doing, apart from the three interventions. </w:t>
      </w:r>
    </w:p>
    <w:p w14:paraId="36E596C9" w14:textId="77777777" w:rsidR="00D1553A" w:rsidRPr="00D1553A" w:rsidRDefault="00D1553A" w:rsidP="00EC7C04">
      <w:r w:rsidRPr="00D1553A">
        <w:t>- Rosen et al:</w:t>
      </w:r>
      <w:r>
        <w:t xml:space="preserve"> 3</w:t>
      </w:r>
      <w:r w:rsidRPr="00D1553A">
        <w:t xml:space="preserve"> testing, counselling and intervention were all limited to one visit, which allowed the pati</w:t>
      </w:r>
      <w:r>
        <w:t>e</w:t>
      </w:r>
      <w:r w:rsidRPr="00D1553A">
        <w:t xml:space="preserve">nt to continue </w:t>
      </w:r>
      <w:r>
        <w:t xml:space="preserve">follow-up with clinic in their usual manner. </w:t>
      </w:r>
      <w:r>
        <w:t>However, the patients were requir</w:t>
      </w:r>
      <w:r w:rsidR="00EC7C04">
        <w:t xml:space="preserve">ed to have typical, rigid “adherence-ready” assessments and </w:t>
      </w:r>
      <w:r>
        <w:t>counselling session, which may not be feasible within existing clinical structures</w:t>
      </w:r>
      <w:r w:rsidR="00EC7C04">
        <w:t xml:space="preserve"> and excludes patients that would </w:t>
      </w:r>
      <w:proofErr w:type="spellStart"/>
      <w:r w:rsidR="00EC7C04">
        <w:t>beefit</w:t>
      </w:r>
      <w:proofErr w:type="spellEnd"/>
      <w:r w:rsidR="00EC7C04">
        <w:t xml:space="preserve"> from </w:t>
      </w:r>
      <w:proofErr w:type="gramStart"/>
      <w:r w:rsidR="00EC7C04">
        <w:t>intervention.</w:t>
      </w:r>
      <w:r>
        <w:t>.</w:t>
      </w:r>
      <w:proofErr w:type="gramEnd"/>
      <w:r>
        <w:t xml:space="preserve"> </w:t>
      </w:r>
      <w:r>
        <w:t>Counselling specifics and ARV regimen were not dictated by study coordinators.</w:t>
      </w:r>
    </w:p>
    <w:p w14:paraId="20D67C2F" w14:textId="77777777" w:rsidR="007A35A9" w:rsidRDefault="007A35A9" w:rsidP="007A35A9">
      <w:pPr>
        <w:rPr>
          <w:u w:val="single"/>
        </w:rPr>
      </w:pPr>
      <w:r w:rsidRPr="009B7C5E">
        <w:rPr>
          <w:u w:val="single"/>
        </w:rPr>
        <w:t>Flexibility (adherence)</w:t>
      </w:r>
    </w:p>
    <w:p w14:paraId="5F66D56A" w14:textId="77777777" w:rsidR="00D1553A" w:rsidRPr="009B7C5E" w:rsidRDefault="00D1553A" w:rsidP="00D1553A">
      <w:r w:rsidRPr="009B7C5E">
        <w:t xml:space="preserve">- </w:t>
      </w:r>
      <w:proofErr w:type="spellStart"/>
      <w:r w:rsidRPr="009B7C5E">
        <w:t>Amanyire</w:t>
      </w:r>
      <w:proofErr w:type="spellEnd"/>
      <w:r w:rsidRPr="009B7C5E">
        <w:t xml:space="preserve"> et al:</w:t>
      </w:r>
      <w:r>
        <w:t xml:space="preserve"> </w:t>
      </w:r>
      <w:r w:rsidR="0099367D">
        <w:t xml:space="preserve">5 did not exclude patients/clinics who did not adhere to protocol based on feedback. </w:t>
      </w:r>
    </w:p>
    <w:p w14:paraId="07162225" w14:textId="77777777" w:rsidR="00D1553A" w:rsidRPr="0099367D" w:rsidRDefault="00D1553A" w:rsidP="00D1553A">
      <w:r w:rsidRPr="0099367D">
        <w:t>- Rosen et al:</w:t>
      </w:r>
      <w:r w:rsidR="0099367D" w:rsidRPr="0099367D">
        <w:t xml:space="preserve"> 2 patients were excluded if they could not complete intervention within same day. </w:t>
      </w:r>
    </w:p>
    <w:p w14:paraId="7728A8B9" w14:textId="77777777" w:rsidR="007A35A9" w:rsidRPr="0099367D" w:rsidRDefault="0099367D" w:rsidP="007A35A9">
      <w:pPr>
        <w:rPr>
          <w:u w:val="single"/>
        </w:rPr>
      </w:pPr>
      <w:r>
        <w:rPr>
          <w:u w:val="single"/>
        </w:rPr>
        <w:t>Follow-</w:t>
      </w:r>
      <w:r w:rsidR="007A35A9" w:rsidRPr="0099367D">
        <w:rPr>
          <w:u w:val="single"/>
        </w:rPr>
        <w:t xml:space="preserve">up </w:t>
      </w:r>
    </w:p>
    <w:p w14:paraId="6DDDC5C1" w14:textId="77777777" w:rsidR="007A35A9" w:rsidRPr="0099367D" w:rsidRDefault="007A35A9" w:rsidP="00943910">
      <w:r w:rsidRPr="0099367D">
        <w:t xml:space="preserve">- </w:t>
      </w:r>
      <w:proofErr w:type="spellStart"/>
      <w:r w:rsidRPr="0099367D">
        <w:t>Amanyire</w:t>
      </w:r>
      <w:proofErr w:type="spellEnd"/>
      <w:r w:rsidRPr="0099367D">
        <w:t xml:space="preserve"> et al:</w:t>
      </w:r>
      <w:r w:rsidR="00D1553A" w:rsidRPr="0099367D">
        <w:t xml:space="preserve"> </w:t>
      </w:r>
      <w:r w:rsidR="00943910">
        <w:t>5 no additional follow-up of patients</w:t>
      </w:r>
    </w:p>
    <w:p w14:paraId="6FF86363" w14:textId="77777777" w:rsidR="007A35A9" w:rsidRPr="007A35A9" w:rsidRDefault="007A35A9" w:rsidP="00943910">
      <w:r w:rsidRPr="007A35A9">
        <w:t>- Rosen et al:</w:t>
      </w:r>
      <w:r w:rsidR="006015E9">
        <w:t xml:space="preserve"> </w:t>
      </w:r>
      <w:r w:rsidR="00943910">
        <w:t>5</w:t>
      </w:r>
      <w:r w:rsidR="006015E9">
        <w:t xml:space="preserve"> chart review of patients </w:t>
      </w:r>
      <w:r w:rsidR="00943910">
        <w:t>and standard clinic follow-up per clinic</w:t>
      </w:r>
    </w:p>
    <w:p w14:paraId="2709CAEC" w14:textId="77777777" w:rsidR="007A35A9" w:rsidRPr="007A35A9" w:rsidRDefault="007A35A9" w:rsidP="007A35A9">
      <w:pPr>
        <w:rPr>
          <w:u w:val="single"/>
        </w:rPr>
      </w:pPr>
      <w:r w:rsidRPr="007A35A9">
        <w:rPr>
          <w:u w:val="single"/>
        </w:rPr>
        <w:t>Primary outcome</w:t>
      </w:r>
    </w:p>
    <w:p w14:paraId="3DBA8040" w14:textId="77777777" w:rsidR="007A35A9" w:rsidRPr="007A35A9" w:rsidRDefault="007A35A9" w:rsidP="007E6064">
      <w:r w:rsidRPr="007A35A9">
        <w:t xml:space="preserve">- </w:t>
      </w:r>
      <w:proofErr w:type="spellStart"/>
      <w:r w:rsidRPr="007A35A9">
        <w:t>Amanyire</w:t>
      </w:r>
      <w:proofErr w:type="spellEnd"/>
      <w:r w:rsidRPr="007A35A9">
        <w:t xml:space="preserve"> et al:</w:t>
      </w:r>
      <w:r w:rsidR="00ED1934">
        <w:t xml:space="preserve"> 5 evaluates the intervention; does not monitor down-stream impacts, which would likely not be directly impacted by the operationalizing </w:t>
      </w:r>
      <w:r w:rsidR="007E6064">
        <w:t xml:space="preserve">same day initiation. </w:t>
      </w:r>
      <w:r w:rsidR="00ED1934">
        <w:t xml:space="preserve"> </w:t>
      </w:r>
      <w:r w:rsidR="003276C2">
        <w:t xml:space="preserve">This study assumes that research already supports the clinical benefit of early initiation of </w:t>
      </w:r>
      <w:proofErr w:type="spellStart"/>
      <w:r w:rsidR="003276C2">
        <w:t>arvs</w:t>
      </w:r>
      <w:proofErr w:type="spellEnd"/>
      <w:r w:rsidR="003276C2">
        <w:t xml:space="preserve"> </w:t>
      </w:r>
    </w:p>
    <w:p w14:paraId="36D6D9CA" w14:textId="77777777" w:rsidR="007A35A9" w:rsidRPr="007A35A9" w:rsidRDefault="007A35A9" w:rsidP="007A35A9">
      <w:r w:rsidRPr="007A35A9">
        <w:t>- Rosen et al:</w:t>
      </w:r>
      <w:r w:rsidR="00161DB5">
        <w:t xml:space="preserve"> </w:t>
      </w:r>
      <w:r w:rsidR="003276C2">
        <w:t xml:space="preserve">4 </w:t>
      </w:r>
      <w:r w:rsidR="00161DB5">
        <w:t xml:space="preserve">primary </w:t>
      </w:r>
      <w:proofErr w:type="gramStart"/>
      <w:r w:rsidR="00161DB5">
        <w:t>outcome</w:t>
      </w:r>
      <w:proofErr w:type="gramEnd"/>
      <w:r w:rsidR="00161DB5">
        <w:t xml:space="preserve"> </w:t>
      </w:r>
      <w:r w:rsidR="003276C2">
        <w:t xml:space="preserve">is a downstream effect of early initiation or </w:t>
      </w:r>
      <w:proofErr w:type="spellStart"/>
      <w:r w:rsidR="003276C2">
        <w:t>arvs</w:t>
      </w:r>
      <w:proofErr w:type="spellEnd"/>
      <w:r w:rsidR="003276C2">
        <w:t>.</w:t>
      </w:r>
    </w:p>
    <w:p w14:paraId="6B6DD93F" w14:textId="77777777" w:rsidR="007A35A9" w:rsidRPr="007A35A9" w:rsidRDefault="007A35A9" w:rsidP="007A35A9">
      <w:pPr>
        <w:rPr>
          <w:u w:val="single"/>
        </w:rPr>
      </w:pPr>
      <w:r w:rsidRPr="007A35A9">
        <w:rPr>
          <w:u w:val="single"/>
        </w:rPr>
        <w:t>Primary analysis</w:t>
      </w:r>
    </w:p>
    <w:p w14:paraId="70342EEF" w14:textId="77777777" w:rsidR="007A35A9" w:rsidRPr="007A35A9" w:rsidRDefault="007A35A9" w:rsidP="000F7788">
      <w:r w:rsidRPr="007A35A9">
        <w:t xml:space="preserve">- </w:t>
      </w:r>
      <w:proofErr w:type="spellStart"/>
      <w:r w:rsidRPr="007A35A9">
        <w:t>Amanyire</w:t>
      </w:r>
      <w:proofErr w:type="spellEnd"/>
      <w:r w:rsidRPr="007A35A9">
        <w:t xml:space="preserve"> et al:</w:t>
      </w:r>
      <w:r w:rsidR="003276C2">
        <w:t xml:space="preserve"> </w:t>
      </w:r>
      <w:r w:rsidR="000F7788">
        <w:t xml:space="preserve">5 – clinic level intervention obviates the need for most exclusion </w:t>
      </w:r>
      <w:proofErr w:type="spellStart"/>
      <w:r w:rsidR="000F7788">
        <w:t>critieria</w:t>
      </w:r>
      <w:proofErr w:type="spellEnd"/>
      <w:r w:rsidR="000F7788">
        <w:t xml:space="preserve">, apart from patients who were already started on ARTs, on whom the intervention would clearly not impact. </w:t>
      </w:r>
    </w:p>
    <w:p w14:paraId="1CF97A24" w14:textId="77777777" w:rsidR="007A35A9" w:rsidRPr="007A35A9" w:rsidRDefault="007A35A9" w:rsidP="000F7788">
      <w:r w:rsidRPr="007A35A9">
        <w:t>- Rosen et al:</w:t>
      </w:r>
      <w:r w:rsidR="000F7788">
        <w:t xml:space="preserve"> 1</w:t>
      </w:r>
      <w:bookmarkStart w:id="0" w:name="_GoBack"/>
      <w:bookmarkEnd w:id="0"/>
      <w:r w:rsidR="000F7788">
        <w:t xml:space="preserve"> – excluded patients who were not eligible for study participation which could bias your results. They should be included in the analysis as failures. </w:t>
      </w:r>
    </w:p>
    <w:p w14:paraId="29CF7F89" w14:textId="77777777" w:rsidR="007A35A9" w:rsidRPr="007A35A9" w:rsidRDefault="007A35A9" w:rsidP="007A35A9"/>
    <w:p w14:paraId="185C770D" w14:textId="77777777" w:rsidR="007A35A9" w:rsidRPr="007A35A9" w:rsidRDefault="007A35A9" w:rsidP="007A35A9"/>
    <w:p w14:paraId="2E4FDDC1" w14:textId="77777777" w:rsidR="007A35A9" w:rsidRPr="007A35A9" w:rsidRDefault="007A35A9" w:rsidP="007A35A9"/>
    <w:p w14:paraId="48FAF926" w14:textId="77777777" w:rsidR="00307752" w:rsidRPr="007A35A9" w:rsidRDefault="00307752" w:rsidP="00307752"/>
    <w:p w14:paraId="5F34FDF2" w14:textId="77777777" w:rsidR="00307752" w:rsidRPr="007A35A9" w:rsidRDefault="00307752" w:rsidP="00307752"/>
    <w:p w14:paraId="0EFF1046" w14:textId="77777777" w:rsidR="002B705D" w:rsidRPr="007A35A9" w:rsidRDefault="002B705D"/>
    <w:p w14:paraId="6A1FFB5C" w14:textId="77777777" w:rsidR="002B705D" w:rsidRPr="007A35A9" w:rsidRDefault="002B705D"/>
    <w:p w14:paraId="67FADF85" w14:textId="77777777" w:rsidR="002B705D" w:rsidRPr="007A35A9" w:rsidRDefault="002B705D"/>
    <w:sectPr w:rsidR="002B705D" w:rsidRPr="007A35A9" w:rsidSect="00D607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8325DC"/>
    <w:multiLevelType w:val="hybridMultilevel"/>
    <w:tmpl w:val="4EC40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5D"/>
    <w:rsid w:val="00082C38"/>
    <w:rsid w:val="000F7788"/>
    <w:rsid w:val="00161DB5"/>
    <w:rsid w:val="001F0D99"/>
    <w:rsid w:val="002B705D"/>
    <w:rsid w:val="00307752"/>
    <w:rsid w:val="003276C2"/>
    <w:rsid w:val="0059523F"/>
    <w:rsid w:val="006015E9"/>
    <w:rsid w:val="006E21B3"/>
    <w:rsid w:val="00745DF3"/>
    <w:rsid w:val="007A35A9"/>
    <w:rsid w:val="007E6064"/>
    <w:rsid w:val="00877D80"/>
    <w:rsid w:val="00943910"/>
    <w:rsid w:val="0099367D"/>
    <w:rsid w:val="009B7C5E"/>
    <w:rsid w:val="00B54412"/>
    <w:rsid w:val="00D14693"/>
    <w:rsid w:val="00D1553A"/>
    <w:rsid w:val="00D6071B"/>
    <w:rsid w:val="00E02C20"/>
    <w:rsid w:val="00EC7C04"/>
    <w:rsid w:val="00ED1934"/>
    <w:rsid w:val="00F73505"/>
    <w:rsid w:val="00F90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ECCF"/>
  <w14:defaultImageDpi w14:val="300"/>
  <w15:docId w15:val="{BD39066F-D44B-4CDA-8570-AEAB5698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46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46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203"/>
    <w:pPr>
      <w:ind w:left="720"/>
      <w:contextualSpacing/>
    </w:pPr>
  </w:style>
  <w:style w:type="character" w:customStyle="1" w:styleId="Heading2Char">
    <w:name w:val="Heading 2 Char"/>
    <w:basedOn w:val="DefaultParagraphFont"/>
    <w:link w:val="Heading2"/>
    <w:uiPriority w:val="9"/>
    <w:rsid w:val="00D14693"/>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D1469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14693"/>
    <w:rPr>
      <w:rFonts w:asciiTheme="majorHAnsi" w:eastAsiaTheme="majorEastAsia" w:hAnsiTheme="majorHAnsi" w:cstheme="majorBidi"/>
      <w:i/>
      <w:iCs/>
      <w:color w:val="4F81BD" w:themeColor="accent1"/>
      <w:spacing w:val="15"/>
    </w:rPr>
  </w:style>
  <w:style w:type="character" w:customStyle="1" w:styleId="Heading3Char">
    <w:name w:val="Heading 3 Char"/>
    <w:basedOn w:val="DefaultParagraphFont"/>
    <w:link w:val="Heading3"/>
    <w:uiPriority w:val="9"/>
    <w:rsid w:val="00D1469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7220">
      <w:bodyDiv w:val="1"/>
      <w:marLeft w:val="0"/>
      <w:marRight w:val="0"/>
      <w:marTop w:val="0"/>
      <w:marBottom w:val="0"/>
      <w:divBdr>
        <w:top w:val="none" w:sz="0" w:space="0" w:color="auto"/>
        <w:left w:val="none" w:sz="0" w:space="0" w:color="auto"/>
        <w:bottom w:val="none" w:sz="0" w:space="0" w:color="auto"/>
        <w:right w:val="none" w:sz="0" w:space="0" w:color="auto"/>
      </w:divBdr>
    </w:div>
    <w:div w:id="13041941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 Geng</dc:creator>
  <cp:keywords/>
  <dc:description/>
  <cp:lastModifiedBy>Angelo Clemenzi-Allen</cp:lastModifiedBy>
  <cp:revision>2</cp:revision>
  <dcterms:created xsi:type="dcterms:W3CDTF">2017-05-03T15:32:00Z</dcterms:created>
  <dcterms:modified xsi:type="dcterms:W3CDTF">2017-05-03T15:32:00Z</dcterms:modified>
</cp:coreProperties>
</file>