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957" w:rsidRPr="00270AD9" w:rsidRDefault="00572957" w:rsidP="00AF5655">
      <w:pPr>
        <w:ind w:left="360"/>
        <w:rPr>
          <w:b/>
        </w:rPr>
      </w:pPr>
      <w:r>
        <w:rPr>
          <w:b/>
        </w:rPr>
        <w:t>Ch07.06.</w:t>
      </w:r>
      <w:r w:rsidR="00AF5655">
        <w:rPr>
          <w:b/>
        </w:rPr>
        <w:t>Q</w:t>
      </w:r>
      <w:r>
        <w:rPr>
          <w:b/>
        </w:rPr>
        <w:t xml:space="preserve">  </w:t>
      </w:r>
      <w:proofErr w:type="spellStart"/>
      <w:r w:rsidRPr="00270AD9">
        <w:rPr>
          <w:b/>
        </w:rPr>
        <w:t>McIsaac</w:t>
      </w:r>
      <w:proofErr w:type="spellEnd"/>
      <w:r w:rsidRPr="00270AD9">
        <w:rPr>
          <w:b/>
        </w:rPr>
        <w:t xml:space="preserve"> Score and Rapid Antigen Detection Test</w:t>
      </w:r>
    </w:p>
    <w:p w:rsidR="00572957" w:rsidRDefault="00572957" w:rsidP="00572957">
      <w:pPr>
        <w:ind w:left="360"/>
      </w:pPr>
    </w:p>
    <w:p w:rsidR="00572957" w:rsidRDefault="00572957" w:rsidP="00572957">
      <w:pPr>
        <w:ind w:left="360"/>
      </w:pPr>
      <w:proofErr w:type="spellStart"/>
      <w:r>
        <w:t>Tanz</w:t>
      </w:r>
      <w:proofErr w:type="spellEnd"/>
      <w:r>
        <w:t xml:space="preserve"> et al.,</w:t>
      </w:r>
      <w:r>
        <w:fldChar w:fldCharType="begin"/>
      </w:r>
      <w:r>
        <w:instrText xml:space="preserve"> ADDIN EN.CITE &lt;EndNote&gt;&lt;Cite&gt;&lt;Author&gt;Tanz&lt;/Author&gt;&lt;Year&gt;2009&lt;/Year&gt;&lt;RecNum&gt;1051&lt;/RecNum&gt;&lt;DisplayText&gt;(3)&lt;/DisplayText&gt;&lt;record&gt;&lt;rec-number&gt;1051&lt;/rec-number&gt;&lt;foreign-keys&gt;&lt;key app="EN" db-id="0ftvff9p80fp5few5s05f5fw9rd9fefrdzer"&gt;1051&lt;/key&gt;&lt;/foreign-keys&gt;&lt;ref-type name="Journal Article"&gt;17&lt;/ref-type&gt;&lt;contributors&gt;&lt;authors&gt;&lt;author&gt;Tanz, R. R.&lt;/author&gt;&lt;author&gt;Gerber, M. A.&lt;/author&gt;&lt;author&gt;Kabat, W.&lt;/author&gt;&lt;author&gt;Rippe, J.&lt;/author&gt;&lt;author&gt;Seshadri, R.&lt;/author&gt;&lt;author&gt;Shulman, S. T.&lt;/author&gt;&lt;/authors&gt;&lt;/contributors&gt;&lt;auth-address&gt;Department of Pediatrics, Children&amp;apos;s Memorial Hospital and Northwestern University Feinberg School of Medicine, Chicago, IL 60614, USA. rtanz@northwestern.edu&lt;/auth-address&gt;&lt;titles&gt;&lt;title&gt;Performance of a rapid antigen-detection test and throat culture in community pediatric offices: implications for management of pharyngitis&lt;/title&gt;&lt;secondary-title&gt;Pediatrics&lt;/secondary-title&gt;&lt;/titles&gt;&lt;pages&gt;437-44&lt;/pages&gt;&lt;volume&gt;123&lt;/volume&gt;&lt;number&gt;2&lt;/number&gt;&lt;keywords&gt;&lt;keyword&gt;Adolescent&lt;/keyword&gt;&lt;keyword&gt;Antigens, Bacterial/*blood&lt;/keyword&gt;&lt;keyword&gt;Bacteriological Techniques&lt;/keyword&gt;&lt;keyword&gt;Child&lt;/keyword&gt;&lt;keyword&gt;Child, Preschool&lt;/keyword&gt;&lt;keyword&gt;Female&lt;/keyword&gt;&lt;keyword&gt;Hematologic Tests&lt;/keyword&gt;&lt;keyword&gt;Humans&lt;/keyword&gt;&lt;keyword&gt;Male&lt;/keyword&gt;&lt;keyword&gt;Pharyngitis/*blood/diagnosis/*microbiology&lt;/keyword&gt;&lt;keyword&gt;Pharynx/*microbiology&lt;/keyword&gt;&lt;keyword&gt;Sensitivity and Specificity&lt;/keyword&gt;&lt;keyword&gt;Streptococcal Infections/*blood/diagnosis&lt;/keyword&gt;&lt;keyword&gt;Streptococcus pyogenes/*immunology/*isolation &amp;amp; purification&lt;/keyword&gt;&lt;keyword&gt;Time Factors&lt;/keyword&gt;&lt;/keywords&gt;&lt;dates&gt;&lt;year&gt;2009&lt;/year&gt;&lt;pub-dates&gt;&lt;date&gt;Feb&lt;/date&gt;&lt;/pub-dates&gt;&lt;/dates&gt;&lt;accession-num&gt;19171607&lt;/accession-num&gt;&lt;urls&gt;&lt;related-urls&gt;&lt;url&gt;http://www.ncbi.nlm.nih.gov/entrez/query.fcgi?cmd=Retrieve&amp;amp;db=PubMed&amp;amp;dopt=Citation&amp;amp;list_uids=19171607&lt;/url&gt;&lt;/related-urls&gt;&lt;/urls&gt;&lt;electronic-resource-num&gt;123/2/437 [pii]&amp;#xD;10.1542/peds.2008-0488&lt;/electronic-resource-num&gt;&lt;language&gt;eng&lt;/language&gt;&lt;/record&gt;&lt;/Cite&gt;&lt;/EndNote&gt;</w:instrText>
      </w:r>
      <w:r>
        <w:fldChar w:fldCharType="separate"/>
      </w:r>
      <w:r>
        <w:rPr>
          <w:noProof/>
        </w:rPr>
        <w:t>(</w:t>
      </w:r>
      <w:hyperlink w:anchor="_ENREF_3" w:tooltip="Tanz, 2009 #1051" w:history="1">
        <w:r>
          <w:rPr>
            <w:noProof/>
          </w:rPr>
          <w:t>3</w:t>
        </w:r>
      </w:hyperlink>
      <w:r>
        <w:rPr>
          <w:noProof/>
        </w:rPr>
        <w:t>)</w:t>
      </w:r>
      <w:r>
        <w:fldChar w:fldCharType="end"/>
      </w:r>
      <w:r>
        <w:t xml:space="preserve"> studied the sensitivity and specificity of the rapid antigen detection test for group A strep in </w:t>
      </w:r>
      <w:r w:rsidRPr="006E5BFD">
        <w:t xml:space="preserve">1848 children 3 to 18 years of age who were evaluated for acute pharyngitis; a laboratory throat culture was the "gold standard." </w:t>
      </w:r>
      <w:r>
        <w:t>They found that the sensitivity of the rapid antigen test</w:t>
      </w:r>
      <w:r w:rsidRPr="006E5BFD">
        <w:t xml:space="preserve"> </w:t>
      </w:r>
      <w:r>
        <w:t xml:space="preserve">depended on the prior probability of strep throat, which was estimated using the Mc Isaac Score.  The </w:t>
      </w:r>
      <w:proofErr w:type="spellStart"/>
      <w:r>
        <w:t>McIssac</w:t>
      </w:r>
      <w:proofErr w:type="spellEnd"/>
      <w:r>
        <w:t xml:space="preserve"> Score gives 1 point </w:t>
      </w:r>
      <w:r w:rsidR="00B36EA4">
        <w:t>for each of the following items:</w:t>
      </w:r>
      <w:bookmarkStart w:id="0" w:name="_GoBack"/>
      <w:bookmarkEnd w:id="0"/>
    </w:p>
    <w:p w:rsidR="00572957" w:rsidRDefault="00572957" w:rsidP="00572957">
      <w:pPr>
        <w:ind w:left="360"/>
      </w:pPr>
    </w:p>
    <w:p w:rsidR="00572957" w:rsidRDefault="00572957" w:rsidP="00572957">
      <w:pPr>
        <w:numPr>
          <w:ilvl w:val="0"/>
          <w:numId w:val="3"/>
        </w:numPr>
      </w:pPr>
      <w:r>
        <w:t>history of temperature of &gt;38°C</w:t>
      </w:r>
    </w:p>
    <w:p w:rsidR="00572957" w:rsidRDefault="00572957" w:rsidP="00572957">
      <w:pPr>
        <w:numPr>
          <w:ilvl w:val="0"/>
          <w:numId w:val="3"/>
        </w:numPr>
      </w:pPr>
      <w:r>
        <w:t>absence of cough</w:t>
      </w:r>
    </w:p>
    <w:p w:rsidR="00572957" w:rsidRDefault="00572957" w:rsidP="00572957">
      <w:pPr>
        <w:numPr>
          <w:ilvl w:val="0"/>
          <w:numId w:val="3"/>
        </w:numPr>
      </w:pPr>
      <w:r>
        <w:t>tender anterior cervical lymph nodes</w:t>
      </w:r>
    </w:p>
    <w:p w:rsidR="00572957" w:rsidRDefault="00572957" w:rsidP="00572957">
      <w:pPr>
        <w:numPr>
          <w:ilvl w:val="0"/>
          <w:numId w:val="3"/>
        </w:numPr>
      </w:pPr>
      <w:r>
        <w:t>tonsillar</w:t>
      </w:r>
      <w:r>
        <w:rPr>
          <w:vertAlign w:val="superscript"/>
        </w:rPr>
        <w:t xml:space="preserve"> </w:t>
      </w:r>
      <w:r>
        <w:t>swelling or exudates</w:t>
      </w:r>
    </w:p>
    <w:p w:rsidR="00B36EA4" w:rsidRDefault="00572957" w:rsidP="00572957">
      <w:pPr>
        <w:numPr>
          <w:ilvl w:val="0"/>
          <w:numId w:val="3"/>
        </w:numPr>
      </w:pPr>
      <w:r>
        <w:t>age of &lt;15 years</w:t>
      </w:r>
    </w:p>
    <w:p w:rsidR="00B36EA4" w:rsidRDefault="00B36EA4" w:rsidP="00B36EA4">
      <w:pPr>
        <w:ind w:left="1080"/>
      </w:pPr>
    </w:p>
    <w:p w:rsidR="00572957" w:rsidRDefault="00B36EA4" w:rsidP="00B36EA4">
      <w:pPr>
        <w:ind w:left="360"/>
      </w:pPr>
      <w:r>
        <w:t>The range of scores is therefore 0 to 5.</w:t>
      </w:r>
      <w:r w:rsidR="00572957">
        <w:br/>
      </w:r>
    </w:p>
    <w:p w:rsidR="00572957" w:rsidRDefault="00572957" w:rsidP="00572957">
      <w:pPr>
        <w:numPr>
          <w:ilvl w:val="0"/>
          <w:numId w:val="2"/>
        </w:numPr>
        <w:ind w:left="360"/>
      </w:pPr>
      <w:r>
        <w:t xml:space="preserve">For this part, ignore the rapid antigen test and consider the </w:t>
      </w:r>
      <w:proofErr w:type="spellStart"/>
      <w:r>
        <w:t>McIssac</w:t>
      </w:r>
      <w:proofErr w:type="spellEnd"/>
      <w:r>
        <w:t xml:space="preserve"> Score as a single test for strep (as determined by the gold standard throat culture).  </w:t>
      </w:r>
      <w:r w:rsidRPr="006E5BFD">
        <w:t xml:space="preserve">If clinicians used some of the same items </w:t>
      </w:r>
      <w:r>
        <w:t xml:space="preserve">listed above </w:t>
      </w:r>
      <w:r w:rsidRPr="006E5BFD">
        <w:t xml:space="preserve">to decide which children to enroll in the study, what bias would this cause, and how would it affect the apparent sensitivity and specificity of a </w:t>
      </w:r>
      <w:proofErr w:type="spellStart"/>
      <w:r w:rsidRPr="006E5BFD">
        <w:t>McIsaac</w:t>
      </w:r>
      <w:proofErr w:type="spellEnd"/>
      <w:r w:rsidRPr="006E5BFD">
        <w:t xml:space="preserve"> score ≥ 3 as a test for strep throat?</w:t>
      </w:r>
      <w:r>
        <w:t xml:space="preserve"> </w:t>
      </w:r>
    </w:p>
    <w:p w:rsidR="00572957" w:rsidRPr="0060093B" w:rsidRDefault="00572957" w:rsidP="00572957">
      <w:pPr>
        <w:ind w:left="360"/>
      </w:pPr>
      <w:r>
        <w:br/>
      </w:r>
    </w:p>
    <w:p w:rsidR="00572957" w:rsidRDefault="00572957" w:rsidP="00572957">
      <w:pPr>
        <w:ind w:left="720"/>
        <w:rPr>
          <w:b/>
          <w:i/>
        </w:rPr>
      </w:pPr>
    </w:p>
    <w:p w:rsidR="00572957" w:rsidRDefault="00572957" w:rsidP="00572957">
      <w:pPr>
        <w:ind w:left="360"/>
      </w:pPr>
      <w:r>
        <w:t>Recall that the study showed that the sensitivity and specificity of the rapid antigen detection test varied with the prior probability of strep.  In other words</w:t>
      </w:r>
      <w:r w:rsidR="000C2104">
        <w:t>,</w:t>
      </w:r>
      <w:r>
        <w:t xml:space="preserve"> the sensitivity and specificity were different depending on the </w:t>
      </w:r>
      <w:proofErr w:type="spellStart"/>
      <w:r>
        <w:t>McIsaac</w:t>
      </w:r>
      <w:proofErr w:type="spellEnd"/>
      <w:r>
        <w:t xml:space="preserve"> clinical symptom score.  </w:t>
      </w:r>
    </w:p>
    <w:p w:rsidR="00572957" w:rsidRDefault="00572957" w:rsidP="00572957">
      <w:pPr>
        <w:ind w:left="360"/>
      </w:pPr>
    </w:p>
    <w:p w:rsidR="00572957" w:rsidRDefault="00572957" w:rsidP="00572957">
      <w:pPr>
        <w:numPr>
          <w:ilvl w:val="0"/>
          <w:numId w:val="2"/>
        </w:numPr>
        <w:tabs>
          <w:tab w:val="clear" w:pos="720"/>
          <w:tab w:val="num" w:pos="360"/>
        </w:tabs>
        <w:ind w:left="360"/>
      </w:pPr>
      <w:r>
        <w:t xml:space="preserve">Using terminology from EBD-2 Chapter 7 on combining tests, how can we describe the relationship between the </w:t>
      </w:r>
      <w:proofErr w:type="spellStart"/>
      <w:r>
        <w:t>McIsaac</w:t>
      </w:r>
      <w:proofErr w:type="spellEnd"/>
      <w:r>
        <w:t xml:space="preserve"> Score and the rapid antigen detection test?</w:t>
      </w:r>
    </w:p>
    <w:p w:rsidR="00572957" w:rsidRDefault="00572957" w:rsidP="00572957">
      <w:pPr>
        <w:ind w:left="360"/>
      </w:pPr>
      <w:r>
        <w:br/>
      </w:r>
    </w:p>
    <w:p w:rsidR="00572957" w:rsidRDefault="00572957" w:rsidP="00572957">
      <w:pPr>
        <w:ind w:left="360"/>
      </w:pPr>
    </w:p>
    <w:p w:rsidR="00572957" w:rsidRDefault="00572957" w:rsidP="00572957">
      <w:pPr>
        <w:numPr>
          <w:ilvl w:val="0"/>
          <w:numId w:val="2"/>
        </w:numPr>
        <w:ind w:left="360"/>
      </w:pPr>
      <w:r>
        <w:t xml:space="preserve">Table 5 from that paper is reprinted below.  The text says: "Table 5 shows that </w:t>
      </w:r>
      <w:proofErr w:type="spellStart"/>
      <w:r>
        <w:t>McIsaac</w:t>
      </w:r>
      <w:proofErr w:type="spellEnd"/>
      <w:r>
        <w:t xml:space="preserve"> scores &gt;2 were significantly associated with positive results for each diagnostic test.  No other information about the odds ratios in Table 5 is included.  </w:t>
      </w:r>
    </w:p>
    <w:tbl>
      <w:tblPr>
        <w:tblpPr w:leftFromText="180" w:rightFromText="180" w:vertAnchor="text" w:horzAnchor="margin" w:tblpY="74"/>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344"/>
      </w:tblGrid>
      <w:tr w:rsidR="00572957" w:rsidRPr="002B47C9" w:rsidTr="00FC5C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72957" w:rsidRPr="002B47C9" w:rsidRDefault="00572957" w:rsidP="00FC5CA2">
            <w:pPr>
              <w:rPr>
                <w:rFonts w:ascii="Arial" w:hAnsi="Arial" w:cs="Arial"/>
              </w:rPr>
            </w:pPr>
          </w:p>
        </w:tc>
      </w:tr>
    </w:tbl>
    <w:p w:rsidR="00572957" w:rsidRPr="002B47C9" w:rsidRDefault="00572957" w:rsidP="00572957">
      <w:pPr>
        <w:rPr>
          <w:rFonts w:ascii="Arial" w:hAnsi="Arial" w:cs="Arial"/>
        </w:rPr>
      </w:pPr>
      <w:r w:rsidRPr="002B47C9">
        <w:rPr>
          <w:rFonts w:ascii="Arial" w:hAnsi="Arial" w:cs="Arial"/>
          <w:b/>
          <w:bCs/>
        </w:rPr>
        <w:t>TABLE 5</w:t>
      </w:r>
      <w:r w:rsidRPr="002B47C9">
        <w:rPr>
          <w:rFonts w:ascii="Arial" w:hAnsi="Arial" w:cs="Arial"/>
        </w:rPr>
        <w:t xml:space="preserve"> Odds Ratios for Positive Diagnostic Test Results With </w:t>
      </w:r>
      <w:proofErr w:type="spellStart"/>
      <w:r w:rsidRPr="002B47C9">
        <w:rPr>
          <w:rFonts w:ascii="Arial" w:hAnsi="Arial" w:cs="Arial"/>
        </w:rPr>
        <w:t>McIsaac</w:t>
      </w:r>
      <w:proofErr w:type="spellEnd"/>
      <w:r w:rsidRPr="002B47C9">
        <w:rPr>
          <w:rFonts w:ascii="Arial" w:hAnsi="Arial" w:cs="Arial"/>
        </w:rPr>
        <w:t xml:space="preserve"> Scores of &gt;2</w:t>
      </w:r>
    </w:p>
    <w:tbl>
      <w:tblPr>
        <w:tblpPr w:leftFromText="180" w:rightFromText="180" w:vertAnchor="text" w:horzAnchor="margin" w:tblpY="459"/>
        <w:tblOverlap w:val="never"/>
        <w:tblW w:w="4832" w:type="pct"/>
        <w:tblCellSpacing w:w="75" w:type="dxa"/>
        <w:tblCellMar>
          <w:left w:w="0" w:type="dxa"/>
          <w:right w:w="0" w:type="dxa"/>
        </w:tblCellMar>
        <w:tblLook w:val="0000" w:firstRow="0" w:lastRow="0" w:firstColumn="0" w:lastColumn="0" w:noHBand="0" w:noVBand="0"/>
      </w:tblPr>
      <w:tblGrid>
        <w:gridCol w:w="3783"/>
        <w:gridCol w:w="3985"/>
        <w:gridCol w:w="1278"/>
      </w:tblGrid>
      <w:tr w:rsidR="00572957" w:rsidRPr="002B47C9" w:rsidTr="00FC5CA2">
        <w:trPr>
          <w:tblCellSpacing w:w="75" w:type="dxa"/>
        </w:trPr>
        <w:tc>
          <w:tcPr>
            <w:tcW w:w="0" w:type="auto"/>
            <w:vAlign w:val="bottom"/>
          </w:tcPr>
          <w:p w:rsidR="00572957" w:rsidRPr="002B47C9" w:rsidRDefault="00572957" w:rsidP="00FC5CA2">
            <w:pPr>
              <w:jc w:val="center"/>
              <w:rPr>
                <w:rFonts w:ascii="Arial" w:hAnsi="Arial" w:cs="Arial"/>
              </w:rPr>
            </w:pPr>
            <w:r w:rsidRPr="002B47C9">
              <w:rPr>
                <w:rFonts w:ascii="Arial" w:hAnsi="Arial" w:cs="Arial"/>
              </w:rPr>
              <w:t>Test</w:t>
            </w:r>
          </w:p>
        </w:tc>
        <w:tc>
          <w:tcPr>
            <w:tcW w:w="0" w:type="auto"/>
            <w:vAlign w:val="bottom"/>
          </w:tcPr>
          <w:p w:rsidR="00572957" w:rsidRPr="002B47C9" w:rsidRDefault="00572957" w:rsidP="00FC5CA2">
            <w:pPr>
              <w:jc w:val="center"/>
              <w:rPr>
                <w:rFonts w:ascii="Arial" w:hAnsi="Arial" w:cs="Arial"/>
              </w:rPr>
            </w:pPr>
            <w:r w:rsidRPr="002B47C9">
              <w:rPr>
                <w:rFonts w:ascii="Arial" w:hAnsi="Arial" w:cs="Arial"/>
              </w:rPr>
              <w:t>Odds Ratio (95% CI)</w:t>
            </w:r>
          </w:p>
        </w:tc>
        <w:tc>
          <w:tcPr>
            <w:tcW w:w="0" w:type="auto"/>
            <w:vAlign w:val="bottom"/>
          </w:tcPr>
          <w:p w:rsidR="00572957" w:rsidRPr="002B47C9" w:rsidRDefault="00572957" w:rsidP="00FC5CA2">
            <w:pPr>
              <w:jc w:val="center"/>
              <w:rPr>
                <w:rFonts w:ascii="Arial" w:hAnsi="Arial" w:cs="Arial"/>
              </w:rPr>
            </w:pPr>
            <w:r w:rsidRPr="002B47C9">
              <w:rPr>
                <w:rFonts w:ascii="Arial" w:hAnsi="Arial" w:cs="Arial"/>
              </w:rPr>
              <w:t>P</w:t>
            </w:r>
          </w:p>
        </w:tc>
      </w:tr>
      <w:tr w:rsidR="00572957" w:rsidRPr="002B47C9" w:rsidTr="00FC5CA2">
        <w:trPr>
          <w:tblCellSpacing w:w="75" w:type="dxa"/>
        </w:trPr>
        <w:tc>
          <w:tcPr>
            <w:tcW w:w="0" w:type="auto"/>
            <w:gridSpan w:val="3"/>
            <w:vAlign w:val="center"/>
          </w:tcPr>
          <w:p w:rsidR="00572957" w:rsidRPr="002B47C9" w:rsidRDefault="00B36EA4" w:rsidP="00FC5CA2">
            <w:pPr>
              <w:rPr>
                <w:rFonts w:ascii="Arial" w:hAnsi="Arial" w:cs="Arial"/>
              </w:rPr>
            </w:pPr>
            <w:r>
              <w:rPr>
                <w:rFonts w:ascii="Arial" w:hAnsi="Arial" w:cs="Arial"/>
              </w:rPr>
              <w:pict>
                <v:rect id="_x0000_i1025" style="width:0;height:1.5pt" o:hralign="center" o:hrstd="t" o:hr="t" fillcolor="#aca899" stroked="f"/>
              </w:pict>
            </w:r>
          </w:p>
        </w:tc>
      </w:tr>
      <w:tr w:rsidR="00572957" w:rsidRPr="002B47C9" w:rsidTr="00FC5CA2">
        <w:trPr>
          <w:tblCellSpacing w:w="75" w:type="dxa"/>
        </w:trPr>
        <w:tc>
          <w:tcPr>
            <w:tcW w:w="0" w:type="auto"/>
          </w:tcPr>
          <w:p w:rsidR="00572957" w:rsidRPr="002B47C9" w:rsidRDefault="00572957" w:rsidP="00FC5CA2">
            <w:pPr>
              <w:rPr>
                <w:rFonts w:ascii="Arial" w:hAnsi="Arial" w:cs="Arial"/>
              </w:rPr>
            </w:pPr>
            <w:r>
              <w:rPr>
                <w:rFonts w:ascii="Arial" w:hAnsi="Arial" w:cs="Arial"/>
              </w:rPr>
              <w:t>Rapid Antigen Teat</w:t>
            </w:r>
          </w:p>
        </w:tc>
        <w:tc>
          <w:tcPr>
            <w:tcW w:w="0" w:type="auto"/>
          </w:tcPr>
          <w:p w:rsidR="00572957" w:rsidRPr="002B47C9" w:rsidRDefault="00572957" w:rsidP="00FC5CA2">
            <w:pPr>
              <w:jc w:val="center"/>
              <w:rPr>
                <w:rFonts w:ascii="Arial" w:hAnsi="Arial" w:cs="Arial"/>
              </w:rPr>
            </w:pPr>
            <w:r w:rsidRPr="002B47C9">
              <w:rPr>
                <w:rFonts w:ascii="Arial" w:hAnsi="Arial" w:cs="Arial"/>
              </w:rPr>
              <w:t>3.44 (2.66–4.44)</w:t>
            </w:r>
          </w:p>
        </w:tc>
        <w:tc>
          <w:tcPr>
            <w:tcW w:w="0" w:type="auto"/>
          </w:tcPr>
          <w:p w:rsidR="00572957" w:rsidRPr="002B47C9" w:rsidRDefault="00572957" w:rsidP="00FC5CA2">
            <w:pPr>
              <w:jc w:val="center"/>
              <w:rPr>
                <w:rFonts w:ascii="Arial" w:hAnsi="Arial" w:cs="Arial"/>
              </w:rPr>
            </w:pPr>
            <w:r w:rsidRPr="002B47C9">
              <w:rPr>
                <w:rFonts w:ascii="Arial" w:hAnsi="Arial" w:cs="Arial"/>
              </w:rPr>
              <w:t>&lt;.001</w:t>
            </w:r>
          </w:p>
        </w:tc>
      </w:tr>
      <w:tr w:rsidR="00572957" w:rsidRPr="002B47C9" w:rsidTr="00FC5CA2">
        <w:trPr>
          <w:tblCellSpacing w:w="75" w:type="dxa"/>
        </w:trPr>
        <w:tc>
          <w:tcPr>
            <w:tcW w:w="0" w:type="auto"/>
          </w:tcPr>
          <w:p w:rsidR="00572957" w:rsidRPr="002B47C9" w:rsidRDefault="00572957" w:rsidP="00FC5CA2">
            <w:pPr>
              <w:rPr>
                <w:rFonts w:ascii="Arial" w:hAnsi="Arial" w:cs="Arial"/>
              </w:rPr>
            </w:pPr>
            <w:r>
              <w:rPr>
                <w:rFonts w:ascii="Arial" w:hAnsi="Arial" w:cs="Arial"/>
              </w:rPr>
              <w:lastRenderedPageBreak/>
              <w:t>Throat Culture</w:t>
            </w:r>
          </w:p>
        </w:tc>
        <w:tc>
          <w:tcPr>
            <w:tcW w:w="0" w:type="auto"/>
          </w:tcPr>
          <w:p w:rsidR="00572957" w:rsidRPr="002B47C9" w:rsidRDefault="00572957" w:rsidP="00FC5CA2">
            <w:pPr>
              <w:jc w:val="center"/>
              <w:rPr>
                <w:rFonts w:ascii="Arial" w:hAnsi="Arial" w:cs="Arial"/>
              </w:rPr>
            </w:pPr>
            <w:r w:rsidRPr="002B47C9">
              <w:rPr>
                <w:rFonts w:ascii="Arial" w:hAnsi="Arial" w:cs="Arial"/>
              </w:rPr>
              <w:t>2.81 (3.20–3.60)</w:t>
            </w:r>
          </w:p>
        </w:tc>
        <w:tc>
          <w:tcPr>
            <w:tcW w:w="0" w:type="auto"/>
          </w:tcPr>
          <w:p w:rsidR="00572957" w:rsidRPr="002B47C9" w:rsidRDefault="00572957" w:rsidP="00FC5CA2">
            <w:pPr>
              <w:jc w:val="center"/>
              <w:rPr>
                <w:rFonts w:ascii="Arial" w:hAnsi="Arial" w:cs="Arial"/>
              </w:rPr>
            </w:pPr>
            <w:r w:rsidRPr="002B47C9">
              <w:rPr>
                <w:rFonts w:ascii="Arial" w:hAnsi="Arial" w:cs="Arial"/>
              </w:rPr>
              <w:t>&lt;.001</w:t>
            </w:r>
          </w:p>
        </w:tc>
      </w:tr>
    </w:tbl>
    <w:p w:rsidR="00572957" w:rsidRDefault="00572957" w:rsidP="00572957">
      <w:pPr>
        <w:ind w:left="1800"/>
      </w:pPr>
    </w:p>
    <w:p w:rsidR="00572957" w:rsidRPr="002B47C9" w:rsidRDefault="00572957" w:rsidP="00572957">
      <w:pPr>
        <w:pStyle w:val="NormalWeb"/>
        <w:rPr>
          <w:rFonts w:ascii="Arial" w:hAnsi="Arial" w:cs="Arial"/>
        </w:rPr>
      </w:pPr>
      <w:r w:rsidRPr="002B47C9">
        <w:rPr>
          <w:rFonts w:ascii="Arial" w:hAnsi="Arial" w:cs="Arial"/>
        </w:rPr>
        <w:t>The baseline score level was 0 to 2.</w:t>
      </w:r>
    </w:p>
    <w:p w:rsidR="00572957" w:rsidRDefault="00572957" w:rsidP="00572957"/>
    <w:p w:rsidR="00572957" w:rsidRDefault="00572957" w:rsidP="00572957">
      <w:pPr>
        <w:numPr>
          <w:ilvl w:val="1"/>
          <w:numId w:val="1"/>
        </w:numPr>
      </w:pPr>
      <w:r>
        <w:t>What is being compared in this table?</w:t>
      </w:r>
    </w:p>
    <w:p w:rsidR="00572957" w:rsidRDefault="00572957" w:rsidP="00572957">
      <w:pPr>
        <w:ind w:left="1080"/>
      </w:pPr>
    </w:p>
    <w:p w:rsidR="00572957" w:rsidRDefault="00572957" w:rsidP="00572957">
      <w:pPr>
        <w:ind w:left="1080"/>
      </w:pPr>
    </w:p>
    <w:p w:rsidR="00572957" w:rsidRPr="003C0D42" w:rsidRDefault="000C2104" w:rsidP="00572957">
      <w:pPr>
        <w:numPr>
          <w:ilvl w:val="1"/>
          <w:numId w:val="1"/>
        </w:numPr>
        <w:rPr>
          <w:i/>
        </w:rPr>
      </w:pPr>
      <w:r>
        <w:t>Look at the point estimates and confidence intervals in the table.  What is the obvious error?</w:t>
      </w:r>
    </w:p>
    <w:p w:rsidR="00572957" w:rsidRPr="003C0D42" w:rsidRDefault="00572957" w:rsidP="00572957">
      <w:pPr>
        <w:ind w:left="1800"/>
        <w:rPr>
          <w:i/>
        </w:rPr>
      </w:pPr>
    </w:p>
    <w:p w:rsidR="00572957" w:rsidRDefault="00572957" w:rsidP="00572957"/>
    <w:p w:rsidR="00572957" w:rsidRDefault="00572957" w:rsidP="00572957">
      <w:pPr>
        <w:numPr>
          <w:ilvl w:val="1"/>
          <w:numId w:val="1"/>
        </w:numPr>
        <w:ind w:left="1080"/>
      </w:pPr>
      <w:r>
        <w:t>T</w:t>
      </w:r>
      <w:r w:rsidRPr="006E5BFD">
        <w:t xml:space="preserve">he term "spectrum bias" is sometimes used to describe non-independence (conditional on disease status) between two tests, where one test is a clinical assessment like the </w:t>
      </w:r>
      <w:proofErr w:type="spellStart"/>
      <w:r w:rsidRPr="006E5BFD">
        <w:t>McIsaac</w:t>
      </w:r>
      <w:proofErr w:type="spellEnd"/>
      <w:r w:rsidRPr="006E5BFD">
        <w:t xml:space="preserve"> score and the other test is a laboratory test like the rapid antigen </w:t>
      </w:r>
      <w:r>
        <w:t>test</w:t>
      </w:r>
      <w:r w:rsidRPr="006E5BFD">
        <w:t>.  Do</w:t>
      </w:r>
      <w:r>
        <w:t xml:space="preserve">es the odds ratio of 3.44 </w:t>
      </w:r>
      <w:r w:rsidRPr="006E5BFD">
        <w:t>provide evide</w:t>
      </w:r>
      <w:r>
        <w:t xml:space="preserve">nce of </w:t>
      </w:r>
      <w:r w:rsidRPr="006E5BFD">
        <w:t>non</w:t>
      </w:r>
      <w:r>
        <w:t>-</w:t>
      </w:r>
      <w:r w:rsidRPr="006E5BFD">
        <w:t>independence</w:t>
      </w:r>
      <w:r>
        <w:t xml:space="preserve"> between the </w:t>
      </w:r>
      <w:proofErr w:type="spellStart"/>
      <w:r>
        <w:t>McIsaac</w:t>
      </w:r>
      <w:proofErr w:type="spellEnd"/>
      <w:r>
        <w:t xml:space="preserve"> Score and the rapid antigen test</w:t>
      </w:r>
      <w:r w:rsidRPr="006E5BFD">
        <w:t xml:space="preserve">? </w:t>
      </w:r>
      <w:r>
        <w:t>(Assume that the odds ratio of 3.44 for the rapid antigen test and the odds ratio of 2.81 for the throat culture are the same, i.e., that the difference is due to chance.)  Explain your answer..</w:t>
      </w:r>
    </w:p>
    <w:p w:rsidR="00572957" w:rsidRDefault="00572957" w:rsidP="00572957">
      <w:pPr>
        <w:ind w:left="1080"/>
      </w:pPr>
    </w:p>
    <w:p w:rsidR="00572957" w:rsidRPr="00575931" w:rsidRDefault="00572957" w:rsidP="00572957">
      <w:pPr>
        <w:rPr>
          <w:b/>
        </w:rPr>
      </w:pPr>
    </w:p>
    <w:p w:rsidR="00572957" w:rsidRPr="00575931" w:rsidRDefault="00572957" w:rsidP="00572957">
      <w:pPr>
        <w:rPr>
          <w:b/>
        </w:rPr>
      </w:pPr>
    </w:p>
    <w:p w:rsidR="00814DF6" w:rsidRDefault="00814DF6">
      <w:pPr>
        <w:spacing w:after="160" w:line="259" w:lineRule="auto"/>
      </w:pPr>
    </w:p>
    <w:p w:rsidR="00F51FF4" w:rsidRDefault="00814DF6">
      <w:r>
        <w:t xml:space="preserve">d) </w:t>
      </w:r>
      <w:r w:rsidR="00C6683C">
        <w:t xml:space="preserve">Treat the </w:t>
      </w:r>
      <w:proofErr w:type="spellStart"/>
      <w:r w:rsidR="00C6683C">
        <w:t>McIsaac</w:t>
      </w:r>
      <w:proofErr w:type="spellEnd"/>
      <w:r w:rsidR="00C6683C">
        <w:t xml:space="preserve"> Score as a dichotomous test for strep throat with scores of 3, 4, and 5 considered “positive” and scores of 0, 1, and 2 as “negative”.  </w:t>
      </w:r>
      <w:r>
        <w:t xml:space="preserve">Assume that the sensitivity and the specificity </w:t>
      </w:r>
      <w:r w:rsidR="00C6683C">
        <w:t xml:space="preserve">this dichotomous test </w:t>
      </w:r>
      <w:r w:rsidR="0090007E">
        <w:t xml:space="preserve">are </w:t>
      </w:r>
      <w:r>
        <w:t xml:space="preserve">80% and 70%.  </w:t>
      </w:r>
      <w:r w:rsidR="00C6683C">
        <w:t xml:space="preserve">In a population with a prevalence (= pre-test probability) </w:t>
      </w:r>
      <w:r w:rsidR="00D22F1F">
        <w:t xml:space="preserve">of strep throat of 25%, what is the probability of a “positive” </w:t>
      </w:r>
      <w:proofErr w:type="spellStart"/>
      <w:r w:rsidR="00D22F1F">
        <w:t>McIsaac</w:t>
      </w:r>
      <w:proofErr w:type="spellEnd"/>
      <w:r w:rsidR="00D22F1F">
        <w:t xml:space="preserve"> Score?  What is </w:t>
      </w:r>
      <w:r w:rsidR="0061303D">
        <w:t xml:space="preserve">the positive predictive value of the </w:t>
      </w:r>
      <w:proofErr w:type="spellStart"/>
      <w:r w:rsidR="0061303D">
        <w:t>McIsaac</w:t>
      </w:r>
      <w:proofErr w:type="spellEnd"/>
      <w:r w:rsidR="0061303D">
        <w:t xml:space="preserve"> Score</w:t>
      </w:r>
      <w:r w:rsidR="00D22F1F">
        <w:t>?</w:t>
      </w:r>
      <w:r w:rsidR="0090007E">
        <w:t xml:space="preserve">  (Hint: </w:t>
      </w:r>
      <w:r w:rsidR="0061303D">
        <w:t>It may help to use the</w:t>
      </w:r>
      <w:r w:rsidR="006C0DDE">
        <w:t xml:space="preserve"> 2x2 table method.</w:t>
      </w:r>
      <w:r w:rsidR="0090007E">
        <w:t>)</w:t>
      </w:r>
    </w:p>
    <w:p w:rsidR="00D22F1F" w:rsidRDefault="00D22F1F"/>
    <w:p w:rsidR="00D22F1F" w:rsidRDefault="00D22F1F">
      <w:pPr>
        <w:rPr>
          <w:b/>
          <w:i/>
        </w:rPr>
      </w:pPr>
    </w:p>
    <w:p w:rsidR="00B2401E" w:rsidRDefault="00D22F1F" w:rsidP="001D0770">
      <w:r>
        <w:t xml:space="preserve">e) Assume that the sensitivity and specificity of the </w:t>
      </w:r>
      <w:r w:rsidR="0090007E">
        <w:t>RADT are 60% and 90%</w:t>
      </w:r>
      <w:r w:rsidR="00CC6F7A">
        <w:t xml:space="preserve"> and that they DO NOT depend on the </w:t>
      </w:r>
      <w:proofErr w:type="spellStart"/>
      <w:r w:rsidR="00CC6F7A">
        <w:t>McIsaac</w:t>
      </w:r>
      <w:proofErr w:type="spellEnd"/>
      <w:r w:rsidR="00CC6F7A">
        <w:t xml:space="preserve"> Score.  This means that you can assume that the 60% sensitivity </w:t>
      </w:r>
      <w:r w:rsidR="00B2401E">
        <w:t xml:space="preserve">applies to D+ patients with a </w:t>
      </w:r>
      <w:r w:rsidR="00B2401E" w:rsidRPr="004E714B">
        <w:rPr>
          <w:b/>
        </w:rPr>
        <w:t>positive</w:t>
      </w:r>
      <w:r w:rsidR="00B2401E">
        <w:t xml:space="preserve"> </w:t>
      </w:r>
      <w:proofErr w:type="spellStart"/>
      <w:r w:rsidR="00B2401E">
        <w:t>McIsaac</w:t>
      </w:r>
      <w:proofErr w:type="spellEnd"/>
      <w:r w:rsidR="00B2401E">
        <w:t xml:space="preserve"> Score and the 90% specificity applies to D- patients with a </w:t>
      </w:r>
      <w:r w:rsidR="00B2401E" w:rsidRPr="004E714B">
        <w:rPr>
          <w:b/>
        </w:rPr>
        <w:t>positive</w:t>
      </w:r>
      <w:r w:rsidR="00B2401E">
        <w:t xml:space="preserve"> </w:t>
      </w:r>
      <w:proofErr w:type="spellStart"/>
      <w:r w:rsidR="00B2401E">
        <w:t>McIsaac</w:t>
      </w:r>
      <w:proofErr w:type="spellEnd"/>
      <w:r w:rsidR="00B2401E">
        <w:t xml:space="preserve"> Score.  Take all the patients in the population above with a </w:t>
      </w:r>
      <w:r w:rsidR="00B2401E" w:rsidRPr="004B0FDF">
        <w:rPr>
          <w:b/>
        </w:rPr>
        <w:t>positive</w:t>
      </w:r>
      <w:r w:rsidR="00B2401E">
        <w:t xml:space="preserve"> </w:t>
      </w:r>
      <w:proofErr w:type="spellStart"/>
      <w:r w:rsidR="00B2401E">
        <w:t>McIsaac</w:t>
      </w:r>
      <w:proofErr w:type="spellEnd"/>
      <w:r w:rsidR="00B2401E">
        <w:t xml:space="preserve"> Score and apply the RADT test.  What is the probability that the RADT test is positive? (Hint: If you used the 2x2 table for Part (d), you can use the top row (Cells a &amp; b) as the totals of D+ and D- for your new 2x2 table.)</w:t>
      </w:r>
    </w:p>
    <w:p w:rsidR="00B2401E" w:rsidRDefault="00B2401E" w:rsidP="001D0770"/>
    <w:p w:rsidR="00E73E34" w:rsidRDefault="00E73E34" w:rsidP="001D0770">
      <w:pPr>
        <w:rPr>
          <w:b/>
          <w:i/>
        </w:rPr>
      </w:pPr>
    </w:p>
    <w:p w:rsidR="004E714B" w:rsidRDefault="004E714B" w:rsidP="001D0770">
      <w:pPr>
        <w:rPr>
          <w:b/>
          <w:i/>
        </w:rPr>
      </w:pPr>
    </w:p>
    <w:p w:rsidR="00E73E34" w:rsidRDefault="00E73E34" w:rsidP="00E73E34">
      <w:r>
        <w:t xml:space="preserve">f) You can also assume that the 60% sensitivity applies to D+ patients with a </w:t>
      </w:r>
      <w:r w:rsidRPr="00E73E34">
        <w:rPr>
          <w:b/>
        </w:rPr>
        <w:t>negative</w:t>
      </w:r>
      <w:r>
        <w:t xml:space="preserve"> </w:t>
      </w:r>
      <w:proofErr w:type="spellStart"/>
      <w:r>
        <w:t>McIsaac</w:t>
      </w:r>
      <w:proofErr w:type="spellEnd"/>
      <w:r>
        <w:t xml:space="preserve"> Score and the 90% specificity applies to D- patients with a </w:t>
      </w:r>
      <w:r w:rsidRPr="00E73E34">
        <w:rPr>
          <w:b/>
        </w:rPr>
        <w:t>negative</w:t>
      </w:r>
      <w:r>
        <w:t xml:space="preserve"> </w:t>
      </w:r>
      <w:proofErr w:type="spellStart"/>
      <w:r>
        <w:t>McIsaac</w:t>
      </w:r>
      <w:proofErr w:type="spellEnd"/>
      <w:r>
        <w:t xml:space="preserve"> Score.  Take all the patients in the population above with a </w:t>
      </w:r>
      <w:r w:rsidRPr="00E73E34">
        <w:rPr>
          <w:b/>
        </w:rPr>
        <w:t>negative</w:t>
      </w:r>
      <w:r>
        <w:t xml:space="preserve"> </w:t>
      </w:r>
      <w:proofErr w:type="spellStart"/>
      <w:r>
        <w:t>McIsaac</w:t>
      </w:r>
      <w:proofErr w:type="spellEnd"/>
      <w:r>
        <w:t xml:space="preserve"> Score and apply the RADT test.  What </w:t>
      </w:r>
      <w:r>
        <w:lastRenderedPageBreak/>
        <w:t>is the probability that the RADT test is positive? (Hint: If you used the 2x2 table for Part (d), you can use the bottom row (Cells c &amp; d) as the totals of D+ and D- for your new 2x2 table.)</w:t>
      </w:r>
    </w:p>
    <w:p w:rsidR="00EA5086" w:rsidRPr="00EA5086" w:rsidRDefault="00EA5086" w:rsidP="00E73E34">
      <w:pPr>
        <w:rPr>
          <w:b/>
          <w:i/>
        </w:rPr>
      </w:pPr>
    </w:p>
    <w:p w:rsidR="00EA5086" w:rsidRDefault="00EA5086" w:rsidP="00EA5086">
      <w:pPr>
        <w:rPr>
          <w:b/>
          <w:i/>
        </w:rPr>
      </w:pPr>
    </w:p>
    <w:p w:rsidR="003160FD" w:rsidRDefault="003160FD" w:rsidP="001D0770">
      <w:pPr>
        <w:rPr>
          <w:b/>
          <w:i/>
        </w:rPr>
      </w:pPr>
    </w:p>
    <w:p w:rsidR="003160FD" w:rsidRDefault="003160FD" w:rsidP="001D0770">
      <w:pPr>
        <w:rPr>
          <w:b/>
          <w:i/>
        </w:rPr>
      </w:pPr>
    </w:p>
    <w:p w:rsidR="007C5ECB" w:rsidRDefault="00492793" w:rsidP="001D0770">
      <w:r>
        <w:t xml:space="preserve">g) In order to get the odds ratio calculated by the authors, you have to convert your answer to (e) and </w:t>
      </w:r>
      <w:r w:rsidR="007C5ECB">
        <w:t>(</w:t>
      </w:r>
      <w:r>
        <w:t>f</w:t>
      </w:r>
      <w:r w:rsidR="007C5ECB">
        <w:t xml:space="preserve">) above to odds and take the ratio.  Do so now.  </w:t>
      </w:r>
    </w:p>
    <w:p w:rsidR="007C5ECB" w:rsidRDefault="007C5ECB" w:rsidP="001D0770"/>
    <w:p w:rsidR="007C5ECB" w:rsidRDefault="007C5ECB" w:rsidP="001D0770"/>
    <w:p w:rsidR="007C5ECB" w:rsidRDefault="007C5ECB" w:rsidP="001D0770"/>
    <w:p w:rsidR="007C5ECB" w:rsidRDefault="007C5ECB" w:rsidP="001D0770"/>
    <w:p w:rsidR="003160FD" w:rsidRDefault="007C5ECB" w:rsidP="001D0770">
      <w:r>
        <w:t xml:space="preserve">h) The calculations that you have done in (e), (f), and (g) assumed that the </w:t>
      </w:r>
      <w:proofErr w:type="spellStart"/>
      <w:r>
        <w:t>McIsaac</w:t>
      </w:r>
      <w:proofErr w:type="spellEnd"/>
      <w:r>
        <w:t xml:space="preserve"> Score and the RADT are conditionally independent, i.e. that you can multiply their LRs.  Answer c (iii) again.</w:t>
      </w:r>
    </w:p>
    <w:p w:rsidR="007C5ECB" w:rsidRDefault="007C5ECB" w:rsidP="001D0770"/>
    <w:p w:rsidR="007C5ECB" w:rsidRDefault="007C5ECB" w:rsidP="001D0770">
      <w:pPr>
        <w:rPr>
          <w:b/>
          <w:i/>
        </w:rPr>
      </w:pPr>
    </w:p>
    <w:p w:rsidR="003160FD" w:rsidRPr="00E916A5" w:rsidRDefault="003160FD" w:rsidP="001D0770">
      <w:pPr>
        <w:rPr>
          <w:b/>
          <w:i/>
        </w:rPr>
      </w:pPr>
    </w:p>
    <w:p w:rsidR="00D22F1F" w:rsidRPr="001D0770" w:rsidRDefault="00D22F1F" w:rsidP="0090007E">
      <w:pPr>
        <w:rPr>
          <w:b/>
        </w:rPr>
      </w:pPr>
    </w:p>
    <w:sectPr w:rsidR="00D22F1F" w:rsidRPr="001D0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F6792"/>
    <w:multiLevelType w:val="hybridMultilevel"/>
    <w:tmpl w:val="D8FCE79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7D2183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E7565D"/>
    <w:multiLevelType w:val="hybridMultilevel"/>
    <w:tmpl w:val="D548A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7210676"/>
    <w:multiLevelType w:val="hybridMultilevel"/>
    <w:tmpl w:val="540CA02C"/>
    <w:lvl w:ilvl="0" w:tplc="0409000F">
      <w:start w:val="1"/>
      <w:numFmt w:val="decimal"/>
      <w:lvlText w:val="%1."/>
      <w:lvlJc w:val="left"/>
      <w:pPr>
        <w:tabs>
          <w:tab w:val="num" w:pos="720"/>
        </w:tabs>
        <w:ind w:left="720" w:hanging="360"/>
      </w:pPr>
      <w:rPr>
        <w:rFonts w:hint="default"/>
      </w:rPr>
    </w:lvl>
    <w:lvl w:ilvl="1" w:tplc="320EB91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7"/>
    <w:rsid w:val="00040E90"/>
    <w:rsid w:val="000C2104"/>
    <w:rsid w:val="000C6389"/>
    <w:rsid w:val="00135013"/>
    <w:rsid w:val="001D0770"/>
    <w:rsid w:val="003160FD"/>
    <w:rsid w:val="00492793"/>
    <w:rsid w:val="004B0FDF"/>
    <w:rsid w:val="004E714B"/>
    <w:rsid w:val="00572957"/>
    <w:rsid w:val="0061303D"/>
    <w:rsid w:val="006C0DDE"/>
    <w:rsid w:val="0072261E"/>
    <w:rsid w:val="00723925"/>
    <w:rsid w:val="007C5ECB"/>
    <w:rsid w:val="00814DF6"/>
    <w:rsid w:val="008B53E1"/>
    <w:rsid w:val="0090007E"/>
    <w:rsid w:val="00AF5655"/>
    <w:rsid w:val="00B2401E"/>
    <w:rsid w:val="00B36EA4"/>
    <w:rsid w:val="00C6683C"/>
    <w:rsid w:val="00CC6F7A"/>
    <w:rsid w:val="00D22F1F"/>
    <w:rsid w:val="00DC1B4E"/>
    <w:rsid w:val="00E73E34"/>
    <w:rsid w:val="00E916A5"/>
    <w:rsid w:val="00EA5086"/>
    <w:rsid w:val="00F5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3E7808"/>
  <w15:chartTrackingRefBased/>
  <w15:docId w15:val="{2DAE9A48-E754-45EB-BB3B-07EB4606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729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599913">
      <w:bodyDiv w:val="1"/>
      <w:marLeft w:val="0"/>
      <w:marRight w:val="0"/>
      <w:marTop w:val="0"/>
      <w:marBottom w:val="0"/>
      <w:divBdr>
        <w:top w:val="none" w:sz="0" w:space="0" w:color="auto"/>
        <w:left w:val="none" w:sz="0" w:space="0" w:color="auto"/>
        <w:bottom w:val="none" w:sz="0" w:space="0" w:color="auto"/>
        <w:right w:val="none" w:sz="0" w:space="0" w:color="auto"/>
      </w:divBdr>
    </w:div>
    <w:div w:id="1644313345">
      <w:bodyDiv w:val="1"/>
      <w:marLeft w:val="0"/>
      <w:marRight w:val="0"/>
      <w:marTop w:val="0"/>
      <w:marBottom w:val="0"/>
      <w:divBdr>
        <w:top w:val="none" w:sz="0" w:space="0" w:color="auto"/>
        <w:left w:val="none" w:sz="0" w:space="0" w:color="auto"/>
        <w:bottom w:val="none" w:sz="0" w:space="0" w:color="auto"/>
        <w:right w:val="none" w:sz="0" w:space="0" w:color="auto"/>
      </w:divBdr>
    </w:div>
    <w:div w:id="20426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Kohn</dc:creator>
  <cp:keywords/>
  <dc:description/>
  <cp:lastModifiedBy>Michael Kohn</cp:lastModifiedBy>
  <cp:revision>5</cp:revision>
  <dcterms:created xsi:type="dcterms:W3CDTF">2017-10-23T22:34:00Z</dcterms:created>
  <dcterms:modified xsi:type="dcterms:W3CDTF">2017-10-24T16:44:00Z</dcterms:modified>
</cp:coreProperties>
</file>