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D02" w:rsidRDefault="00D10D02">
      <w:bookmarkStart w:id="0" w:name="_GoBack"/>
      <w:bookmarkEnd w:id="0"/>
      <w:r>
        <w:t xml:space="preserve">I have no experience and a very limited knowledge regarding the use of SGAs in adolescents.  </w:t>
      </w:r>
    </w:p>
    <w:p w:rsidR="003620FA" w:rsidRDefault="00B81DF6">
      <w:r>
        <w:t xml:space="preserve">This article </w:t>
      </w:r>
      <w:r w:rsidR="00D10D02">
        <w:t xml:space="preserve">does impact how I </w:t>
      </w:r>
      <w:r w:rsidR="00F717BD">
        <w:t xml:space="preserve">would monitor my patients’ </w:t>
      </w:r>
      <w:r w:rsidR="00D10D02">
        <w:t xml:space="preserve">weight and the other side effects associated with SGAs.  </w:t>
      </w:r>
      <w:r w:rsidR="00F717BD">
        <w:t>Like Yunji I was very curious about the metabolic changes associated with the SGAs.  I knew SGAs affected weight but I didn’t realize that the metabolic</w:t>
      </w:r>
      <w:r w:rsidR="001E599E">
        <w:t xml:space="preserve"> changes </w:t>
      </w:r>
      <w:r w:rsidR="003620FA">
        <w:t xml:space="preserve">could be so severe.  </w:t>
      </w:r>
      <w:r>
        <w:t xml:space="preserve">However I did read an article that </w:t>
      </w:r>
      <w:r w:rsidR="003620FA">
        <w:t xml:space="preserve">speculated that schizophrenia, and other brain disorders such as </w:t>
      </w:r>
      <w:r w:rsidR="00B646C7">
        <w:t>Alzheimer’s</w:t>
      </w:r>
      <w:r w:rsidR="003620FA">
        <w:t xml:space="preserve"> may be more closely linked to diabetes mellitus than previously believed.  I could not find the exact article I read but searching for it I found some good </w:t>
      </w:r>
      <w:r w:rsidR="00B646C7">
        <w:t>research</w:t>
      </w:r>
      <w:r w:rsidR="003620FA">
        <w:t xml:space="preserve"> articles.</w:t>
      </w:r>
      <w:r w:rsidR="0092324C">
        <w:t xml:space="preserve">  </w:t>
      </w:r>
    </w:p>
    <w:p w:rsidR="0092324C" w:rsidRDefault="0092324C">
      <w:r>
        <w:t xml:space="preserve">According to </w:t>
      </w:r>
      <w:r w:rsidR="002851FF">
        <w:t>Bailey, Sharpe, Ringel, &amp; Zeeshan (2018), collaborating with the patients</w:t>
      </w:r>
      <w:r w:rsidR="008A5AB8">
        <w:t>’</w:t>
      </w:r>
      <w:r w:rsidR="002851FF">
        <w:t xml:space="preserve"> primary care provider and mental health provider to monitor the patients</w:t>
      </w:r>
      <w:r w:rsidR="008A5AB8">
        <w:t>’</w:t>
      </w:r>
      <w:r w:rsidR="002851FF">
        <w:t xml:space="preserve"> blood sugar and metab</w:t>
      </w:r>
      <w:r w:rsidR="001F14DD">
        <w:t>olic syndrome, pre</w:t>
      </w:r>
      <w:r w:rsidR="002851FF">
        <w:t xml:space="preserve">vent </w:t>
      </w:r>
      <w:r w:rsidR="001F14DD">
        <w:t>serious complications, and adverse reactions.  Providing a significant amount of education to the patient and their family is necessary,</w:t>
      </w:r>
      <w:r w:rsidR="005C4E77">
        <w:t xml:space="preserve"> and appropriate.  Drug naïve patients were associated with </w:t>
      </w:r>
      <w:r w:rsidR="00351FDB">
        <w:t xml:space="preserve">glucose dysregulation (Wani et al. 2015).  Early detection </w:t>
      </w:r>
      <w:r w:rsidR="008A5AB8">
        <w:t xml:space="preserve">of metabolic dysregulation is of the upmost importance when monitoring young patients prescribed SGAs.  </w:t>
      </w:r>
    </w:p>
    <w:p w:rsidR="0092324C" w:rsidRDefault="008A5AB8">
      <w:r>
        <w:t xml:space="preserve">The article did make me ponder some questions.  </w:t>
      </w:r>
      <w:r w:rsidR="005F5EF9">
        <w:t>Were the participants screened for genetic predispositi</w:t>
      </w:r>
      <w:r w:rsidR="004C4A35">
        <w:t xml:space="preserve">on of diabetes or other metabolic disorders?  Were the activity levels of the participants evaluated before the study to determine normal lifestyle habits, such as a sedentary </w:t>
      </w:r>
      <w:r w:rsidR="00B646C7">
        <w:t xml:space="preserve">lifestyle?  </w:t>
      </w:r>
    </w:p>
    <w:p w:rsidR="00B646C7" w:rsidRDefault="00B646C7"/>
    <w:p w:rsidR="0092324C" w:rsidRDefault="0092324C" w:rsidP="0092324C">
      <w:pPr>
        <w:pStyle w:val="NormalWeb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References </w:t>
      </w:r>
    </w:p>
    <w:p w:rsidR="0092324C" w:rsidRDefault="0092324C" w:rsidP="0092324C">
      <w:pPr>
        <w:pStyle w:val="NormalWeb"/>
        <w:spacing w:line="480" w:lineRule="auto"/>
        <w:ind w:left="450" w:hanging="45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Bailey, R. K., Sharpe, D. K., Ringel, M., &amp; Zeeshan, A. (2018). Early combination therapy for type 2 diabetes mellitus and common comorbid mental disorders.</w:t>
      </w:r>
      <w:r>
        <w:rPr>
          <w:rFonts w:ascii="Verdana" w:hAnsi="Verdana"/>
          <w:i/>
          <w:iCs/>
          <w:sz w:val="18"/>
          <w:szCs w:val="18"/>
        </w:rPr>
        <w:t xml:space="preserve"> Foc, 16</w:t>
      </w:r>
      <w:r>
        <w:rPr>
          <w:rFonts w:ascii="Verdana" w:hAnsi="Verdana"/>
          <w:sz w:val="18"/>
          <w:szCs w:val="18"/>
        </w:rPr>
        <w:t xml:space="preserve">(1), 48-53. 10.1176/appi.focus.20160048 Retrieved from </w:t>
      </w:r>
      <w:hyperlink r:id="rId4" w:tgtFrame="_blank" w:history="1">
        <w:r>
          <w:rPr>
            <w:rStyle w:val="Hyperlink"/>
            <w:rFonts w:ascii="Verdana" w:hAnsi="Verdana"/>
            <w:sz w:val="18"/>
            <w:szCs w:val="18"/>
          </w:rPr>
          <w:t>https:/</w:t>
        </w:r>
        <w:r>
          <w:rPr>
            <w:rStyle w:val="Hyperlink"/>
            <w:rFonts w:ascii="Verdana" w:hAnsi="Verdana"/>
            <w:sz w:val="18"/>
            <w:szCs w:val="18"/>
          </w:rPr>
          <w:t>/doi.org/10.1176/appi.focus.20160048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:rsidR="005C4E77" w:rsidRDefault="005C4E77" w:rsidP="005C4E77">
      <w:pPr>
        <w:pStyle w:val="NormalWeb"/>
        <w:spacing w:line="480" w:lineRule="auto"/>
        <w:ind w:left="450" w:hanging="45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Wani, R. A., Dar, M. A., Margoob, M. A., Rather, Y. H., Haq, I., &amp; Shah, M. S. (2015). Diabetes mellitus and impaired glucose tolerance in patients with schizophrenia, before and after antipsychotic treatment.</w:t>
      </w:r>
      <w:r>
        <w:rPr>
          <w:rFonts w:ascii="Verdana" w:hAnsi="Verdana"/>
          <w:i/>
          <w:iCs/>
          <w:sz w:val="18"/>
          <w:szCs w:val="18"/>
        </w:rPr>
        <w:t xml:space="preserve"> Journal of Neurosciences in Rural Practice, 6</w:t>
      </w:r>
      <w:r>
        <w:rPr>
          <w:rFonts w:ascii="Verdana" w:hAnsi="Verdana"/>
          <w:sz w:val="18"/>
          <w:szCs w:val="18"/>
        </w:rPr>
        <w:t xml:space="preserve">(1), 17-22. 10.4103/0976-3147.143182 Retrieved from </w:t>
      </w:r>
      <w:hyperlink r:id="rId5" w:tgtFrame="_blank" w:history="1">
        <w:r>
          <w:rPr>
            <w:rStyle w:val="Hyperlink"/>
            <w:rFonts w:ascii="Verdana" w:hAnsi="Verdana"/>
            <w:sz w:val="18"/>
            <w:szCs w:val="18"/>
          </w:rPr>
          <w:t>http://www.ncbi.nlm.nih.gov/pmc/articles/PMC4244781/</w:t>
        </w:r>
      </w:hyperlink>
      <w:r>
        <w:rPr>
          <w:rFonts w:ascii="Verdana" w:hAnsi="Verdana"/>
          <w:sz w:val="18"/>
          <w:szCs w:val="18"/>
        </w:rPr>
        <w:t xml:space="preserve"> </w:t>
      </w:r>
    </w:p>
    <w:p w:rsidR="005C4E77" w:rsidRDefault="005C4E77" w:rsidP="0092324C">
      <w:pPr>
        <w:pStyle w:val="NormalWeb"/>
        <w:spacing w:line="480" w:lineRule="auto"/>
        <w:ind w:left="450" w:hanging="450"/>
        <w:rPr>
          <w:rFonts w:ascii="Verdana" w:hAnsi="Verdana"/>
          <w:sz w:val="18"/>
          <w:szCs w:val="18"/>
        </w:rPr>
      </w:pPr>
    </w:p>
    <w:p w:rsidR="0092324C" w:rsidRDefault="0092324C"/>
    <w:p w:rsidR="003620FA" w:rsidRDefault="003620FA"/>
    <w:p w:rsidR="003620FA" w:rsidRDefault="003620FA"/>
    <w:sectPr w:rsidR="00362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D02"/>
    <w:rsid w:val="001E599E"/>
    <w:rsid w:val="001F14DD"/>
    <w:rsid w:val="002851FF"/>
    <w:rsid w:val="00351FDB"/>
    <w:rsid w:val="003620FA"/>
    <w:rsid w:val="004C4A35"/>
    <w:rsid w:val="004D34A4"/>
    <w:rsid w:val="005C4E77"/>
    <w:rsid w:val="005F5EF9"/>
    <w:rsid w:val="00672A61"/>
    <w:rsid w:val="008A5AB8"/>
    <w:rsid w:val="0092324C"/>
    <w:rsid w:val="00B15EB6"/>
    <w:rsid w:val="00B646C7"/>
    <w:rsid w:val="00B81DF6"/>
    <w:rsid w:val="00CA0222"/>
    <w:rsid w:val="00D10D02"/>
    <w:rsid w:val="00F7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61FF9-79F4-4E5F-8FD5-E7A96EC8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0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2324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232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3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cbi.nlm.nih.gov/pmc/articles/PMC4244781/" TargetMode="External"/><Relationship Id="rId4" Type="http://schemas.openxmlformats.org/officeDocument/2006/relationships/hyperlink" Target="https://doi.org/10.1176/appi.focus.20160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G6</dc:creator>
  <cp:keywords/>
  <dc:description/>
  <cp:lastModifiedBy>G6</cp:lastModifiedBy>
  <cp:revision>2</cp:revision>
  <dcterms:created xsi:type="dcterms:W3CDTF">2018-03-04T05:01:00Z</dcterms:created>
  <dcterms:modified xsi:type="dcterms:W3CDTF">2018-03-04T05:01:00Z</dcterms:modified>
</cp:coreProperties>
</file>