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93A61" w14:textId="1CF04269" w:rsidR="00FB7EC7" w:rsidRPr="00FB7EC7" w:rsidRDefault="00FB7EC7" w:rsidP="00FB7EC7">
      <w:pPr>
        <w:widowControl w:val="0"/>
        <w:spacing w:line="240" w:lineRule="atLeast"/>
        <w:ind w:left="720"/>
        <w:jc w:val="center"/>
        <w:rPr>
          <w:b/>
          <w:bCs/>
          <w:sz w:val="28"/>
          <w:szCs w:val="28"/>
          <w:u w:val="single"/>
        </w:rPr>
      </w:pPr>
      <w:r w:rsidRPr="00FB7EC7">
        <w:rPr>
          <w:b/>
          <w:bCs/>
          <w:sz w:val="28"/>
          <w:szCs w:val="28"/>
          <w:u w:val="single"/>
        </w:rPr>
        <w:t>Clinical Evaluation Summary:</w:t>
      </w:r>
    </w:p>
    <w:p w14:paraId="0421601A" w14:textId="77777777" w:rsidR="00FB7EC7" w:rsidRDefault="00FB7EC7" w:rsidP="00FB7EC7">
      <w:pPr>
        <w:widowControl w:val="0"/>
        <w:spacing w:line="240" w:lineRule="atLeast"/>
      </w:pPr>
    </w:p>
    <w:tbl>
      <w:tblPr>
        <w:tblW w:w="8820" w:type="dxa"/>
        <w:tblInd w:w="117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40"/>
        <w:gridCol w:w="1980"/>
        <w:gridCol w:w="4500"/>
      </w:tblGrid>
      <w:tr w:rsidR="00FB7EC7" w:rsidRPr="00C05C03" w14:paraId="425460B5" w14:textId="77777777" w:rsidTr="009D1B51">
        <w:trPr>
          <w:trHeight w:val="330"/>
        </w:trPr>
        <w:tc>
          <w:tcPr>
            <w:tcW w:w="2340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A8AAA9"/>
            <w:tcMar>
              <w:top w:w="120" w:type="dxa"/>
              <w:left w:w="200" w:type="dxa"/>
              <w:bottom w:w="120" w:type="dxa"/>
              <w:right w:w="120" w:type="dxa"/>
            </w:tcMar>
            <w:hideMark/>
          </w:tcPr>
          <w:p w14:paraId="0F707627" w14:textId="77777777" w:rsidR="00FB7EC7" w:rsidRPr="00C05C03" w:rsidRDefault="00FB7EC7" w:rsidP="009D1B51">
            <w:pPr>
              <w:widowControl w:val="0"/>
              <w:spacing w:line="240" w:lineRule="atLeast"/>
            </w:pPr>
            <w:r w:rsidRPr="00C05C03">
              <w:rPr>
                <w:b/>
                <w:bCs/>
              </w:rPr>
              <w:t>Name of Form</w:t>
            </w:r>
          </w:p>
        </w:tc>
        <w:tc>
          <w:tcPr>
            <w:tcW w:w="1980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8AAA9"/>
            <w:tcMar>
              <w:top w:w="120" w:type="dxa"/>
              <w:left w:w="200" w:type="dxa"/>
              <w:bottom w:w="120" w:type="dxa"/>
              <w:right w:w="120" w:type="dxa"/>
            </w:tcMar>
            <w:hideMark/>
          </w:tcPr>
          <w:p w14:paraId="68716C30" w14:textId="77777777" w:rsidR="00FB7EC7" w:rsidRPr="00C05C03" w:rsidRDefault="00FB7EC7" w:rsidP="009D1B51">
            <w:pPr>
              <w:widowControl w:val="0"/>
              <w:spacing w:line="240" w:lineRule="atLeast"/>
            </w:pPr>
            <w:r w:rsidRPr="00C05C03">
              <w:rPr>
                <w:b/>
                <w:bCs/>
              </w:rPr>
              <w:t>How Often</w:t>
            </w:r>
          </w:p>
        </w:tc>
        <w:tc>
          <w:tcPr>
            <w:tcW w:w="4500" w:type="dxa"/>
            <w:tcBorders>
              <w:top w:val="nil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A8AAA9"/>
            <w:tcMar>
              <w:top w:w="120" w:type="dxa"/>
              <w:left w:w="200" w:type="dxa"/>
              <w:bottom w:w="120" w:type="dxa"/>
              <w:right w:w="120" w:type="dxa"/>
            </w:tcMar>
            <w:hideMark/>
          </w:tcPr>
          <w:p w14:paraId="62506C37" w14:textId="77777777" w:rsidR="00FB7EC7" w:rsidRPr="00C05C03" w:rsidRDefault="00FB7EC7" w:rsidP="009D1B51">
            <w:pPr>
              <w:widowControl w:val="0"/>
              <w:spacing w:line="240" w:lineRule="atLeast"/>
            </w:pPr>
            <w:r w:rsidRPr="00C05C03">
              <w:rPr>
                <w:b/>
                <w:bCs/>
              </w:rPr>
              <w:t>Who Completes</w:t>
            </w:r>
          </w:p>
        </w:tc>
      </w:tr>
      <w:tr w:rsidR="00FB7EC7" w:rsidRPr="00C05C03" w14:paraId="3C36EE9C" w14:textId="77777777" w:rsidTr="009D1B51">
        <w:trPr>
          <w:trHeight w:val="90"/>
        </w:trPr>
        <w:tc>
          <w:tcPr>
            <w:tcW w:w="23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  <w:tcMar>
              <w:top w:w="120" w:type="dxa"/>
              <w:left w:w="200" w:type="dxa"/>
              <w:bottom w:w="120" w:type="dxa"/>
              <w:right w:w="120" w:type="dxa"/>
            </w:tcMar>
            <w:hideMark/>
          </w:tcPr>
          <w:p w14:paraId="3A0EDAB8" w14:textId="77777777" w:rsidR="00FB7EC7" w:rsidRPr="00C05C03" w:rsidRDefault="00FB7EC7" w:rsidP="009D1B51">
            <w:pPr>
              <w:widowControl w:val="0"/>
              <w:spacing w:line="240" w:lineRule="atLeast"/>
            </w:pPr>
            <w:r w:rsidRPr="00C05C03">
              <w:t>Goal Setting Form</w:t>
            </w:r>
          </w:p>
        </w:tc>
        <w:tc>
          <w:tcPr>
            <w:tcW w:w="19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tcMar>
              <w:top w:w="120" w:type="dxa"/>
              <w:left w:w="200" w:type="dxa"/>
              <w:bottom w:w="120" w:type="dxa"/>
              <w:right w:w="120" w:type="dxa"/>
            </w:tcMar>
            <w:hideMark/>
          </w:tcPr>
          <w:p w14:paraId="66E98BF3" w14:textId="77777777" w:rsidR="00FB7EC7" w:rsidRPr="00C05C03" w:rsidRDefault="00FB7EC7" w:rsidP="009D1B51">
            <w:pPr>
              <w:widowControl w:val="0"/>
              <w:spacing w:line="240" w:lineRule="atLeast"/>
            </w:pPr>
            <w:r w:rsidRPr="00C05C03">
              <w:t>Each clinical session</w:t>
            </w:r>
          </w:p>
        </w:tc>
        <w:tc>
          <w:tcPr>
            <w:tcW w:w="450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2F2F2"/>
            <w:tcMar>
              <w:top w:w="120" w:type="dxa"/>
              <w:left w:w="200" w:type="dxa"/>
              <w:bottom w:w="120" w:type="dxa"/>
              <w:right w:w="120" w:type="dxa"/>
            </w:tcMar>
            <w:hideMark/>
          </w:tcPr>
          <w:p w14:paraId="28AAD194" w14:textId="77777777" w:rsidR="00FB7EC7" w:rsidRPr="00C05C03" w:rsidRDefault="00FB7EC7" w:rsidP="009D1B51">
            <w:pPr>
              <w:widowControl w:val="0"/>
              <w:spacing w:line="240" w:lineRule="atLeast"/>
            </w:pPr>
            <w:r w:rsidRPr="00C05C03">
              <w:t>Student and preceptor together (paper form)</w:t>
            </w:r>
          </w:p>
        </w:tc>
      </w:tr>
      <w:tr w:rsidR="00FB7EC7" w:rsidRPr="00C05C03" w14:paraId="3C3910B9" w14:textId="77777777" w:rsidTr="009D1B51">
        <w:trPr>
          <w:trHeight w:val="828"/>
        </w:trPr>
        <w:tc>
          <w:tcPr>
            <w:tcW w:w="23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E3E5E4"/>
            <w:tcMar>
              <w:top w:w="120" w:type="dxa"/>
              <w:left w:w="200" w:type="dxa"/>
              <w:bottom w:w="120" w:type="dxa"/>
              <w:right w:w="120" w:type="dxa"/>
            </w:tcMar>
            <w:hideMark/>
          </w:tcPr>
          <w:p w14:paraId="226CBA54" w14:textId="77777777" w:rsidR="00FB7EC7" w:rsidRPr="00C05C03" w:rsidRDefault="00FB7EC7" w:rsidP="009D1B51">
            <w:pPr>
              <w:widowControl w:val="0"/>
              <w:spacing w:line="240" w:lineRule="atLeast"/>
            </w:pPr>
            <w:r w:rsidRPr="00C05C03">
              <w:t>Formative Clinical Evaluation Tool</w:t>
            </w:r>
          </w:p>
        </w:tc>
        <w:tc>
          <w:tcPr>
            <w:tcW w:w="19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3E5E4"/>
            <w:tcMar>
              <w:top w:w="120" w:type="dxa"/>
              <w:left w:w="200" w:type="dxa"/>
              <w:bottom w:w="120" w:type="dxa"/>
              <w:right w:w="120" w:type="dxa"/>
            </w:tcMar>
            <w:hideMark/>
          </w:tcPr>
          <w:p w14:paraId="4034F252" w14:textId="77777777" w:rsidR="00FB7EC7" w:rsidRPr="00C05C03" w:rsidRDefault="00FB7EC7" w:rsidP="009D1B51">
            <w:pPr>
              <w:widowControl w:val="0"/>
              <w:spacing w:line="240" w:lineRule="atLeast"/>
            </w:pPr>
            <w:r w:rsidRPr="00C05C03">
              <w:t>2-3 times a quarter</w:t>
            </w:r>
          </w:p>
        </w:tc>
        <w:tc>
          <w:tcPr>
            <w:tcW w:w="450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E3E5E4"/>
            <w:tcMar>
              <w:top w:w="120" w:type="dxa"/>
              <w:left w:w="200" w:type="dxa"/>
              <w:bottom w:w="120" w:type="dxa"/>
              <w:right w:w="120" w:type="dxa"/>
            </w:tcMar>
            <w:hideMark/>
          </w:tcPr>
          <w:p w14:paraId="4A410A68" w14:textId="77777777" w:rsidR="00FB7EC7" w:rsidRPr="00C05C03" w:rsidRDefault="00FB7EC7" w:rsidP="009D1B51">
            <w:pPr>
              <w:widowControl w:val="0"/>
              <w:spacing w:line="240" w:lineRule="atLeast"/>
            </w:pPr>
            <w:r w:rsidRPr="00C05C03">
              <w:t>Student will generate form to be sent to preceptor(s) through E*Value at times designated by Faculty of Record (FOR)</w:t>
            </w:r>
          </w:p>
        </w:tc>
      </w:tr>
      <w:tr w:rsidR="00FB7EC7" w:rsidRPr="00C05C03" w14:paraId="69AF5037" w14:textId="77777777" w:rsidTr="009D1B51">
        <w:trPr>
          <w:trHeight w:val="765"/>
        </w:trPr>
        <w:tc>
          <w:tcPr>
            <w:tcW w:w="23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E3E5E4"/>
            <w:tcMar>
              <w:top w:w="120" w:type="dxa"/>
              <w:left w:w="200" w:type="dxa"/>
              <w:bottom w:w="120" w:type="dxa"/>
              <w:right w:w="120" w:type="dxa"/>
            </w:tcMar>
            <w:hideMark/>
          </w:tcPr>
          <w:p w14:paraId="744353FC" w14:textId="77777777" w:rsidR="00FB7EC7" w:rsidRPr="00C05C03" w:rsidRDefault="00FB7EC7" w:rsidP="009D1B51">
            <w:pPr>
              <w:widowControl w:val="0"/>
              <w:spacing w:line="240" w:lineRule="atLeast"/>
            </w:pPr>
            <w:r w:rsidRPr="00C05C03">
              <w:t>Competency Portfolio</w:t>
            </w:r>
          </w:p>
        </w:tc>
        <w:tc>
          <w:tcPr>
            <w:tcW w:w="19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3E5E4"/>
            <w:tcMar>
              <w:top w:w="120" w:type="dxa"/>
              <w:left w:w="200" w:type="dxa"/>
              <w:bottom w:w="120" w:type="dxa"/>
              <w:right w:w="120" w:type="dxa"/>
            </w:tcMar>
            <w:hideMark/>
          </w:tcPr>
          <w:p w14:paraId="55F9CF06" w14:textId="77777777" w:rsidR="00FB7EC7" w:rsidRPr="00C05C03" w:rsidRDefault="00FB7EC7" w:rsidP="009D1B51">
            <w:pPr>
              <w:widowControl w:val="0"/>
              <w:spacing w:line="240" w:lineRule="atLeast"/>
            </w:pPr>
            <w:r w:rsidRPr="00C05C03">
              <w:t>Each clinical session</w:t>
            </w:r>
          </w:p>
        </w:tc>
        <w:tc>
          <w:tcPr>
            <w:tcW w:w="450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E3E5E4"/>
            <w:tcMar>
              <w:top w:w="120" w:type="dxa"/>
              <w:left w:w="200" w:type="dxa"/>
              <w:bottom w:w="120" w:type="dxa"/>
              <w:right w:w="120" w:type="dxa"/>
            </w:tcMar>
            <w:hideMark/>
          </w:tcPr>
          <w:p w14:paraId="6B880958" w14:textId="77777777" w:rsidR="00FB7EC7" w:rsidRPr="00C05C03" w:rsidRDefault="00FB7EC7" w:rsidP="009D1B51">
            <w:pPr>
              <w:widowControl w:val="0"/>
              <w:spacing w:line="240" w:lineRule="atLeast"/>
            </w:pPr>
            <w:r w:rsidRPr="00C05C03">
              <w:t>Student completes/Preceptor reviews at the end of the quarter and signs.</w:t>
            </w:r>
          </w:p>
          <w:p w14:paraId="5CDB71F3" w14:textId="77777777" w:rsidR="00FB7EC7" w:rsidRPr="00C05C03" w:rsidRDefault="00FB7EC7" w:rsidP="009D1B51">
            <w:pPr>
              <w:widowControl w:val="0"/>
              <w:spacing w:line="240" w:lineRule="atLeast"/>
            </w:pPr>
            <w:r w:rsidRPr="00C05C03">
              <w:t>(paper form)</w:t>
            </w:r>
          </w:p>
        </w:tc>
      </w:tr>
      <w:tr w:rsidR="00FB7EC7" w:rsidRPr="00C05C03" w14:paraId="254E81C4" w14:textId="77777777" w:rsidTr="009D1B51">
        <w:trPr>
          <w:trHeight w:val="594"/>
        </w:trPr>
        <w:tc>
          <w:tcPr>
            <w:tcW w:w="23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  <w:tcMar>
              <w:top w:w="120" w:type="dxa"/>
              <w:left w:w="200" w:type="dxa"/>
              <w:bottom w:w="120" w:type="dxa"/>
              <w:right w:w="120" w:type="dxa"/>
            </w:tcMar>
            <w:hideMark/>
          </w:tcPr>
          <w:p w14:paraId="05A53F20" w14:textId="77777777" w:rsidR="00FB7EC7" w:rsidRPr="00C05C03" w:rsidRDefault="00FB7EC7" w:rsidP="009D1B51">
            <w:pPr>
              <w:widowControl w:val="0"/>
              <w:spacing w:line="240" w:lineRule="atLeast"/>
            </w:pPr>
            <w:r w:rsidRPr="00C05C03">
              <w:t>Student Evaluation of Preceptor</w:t>
            </w:r>
          </w:p>
        </w:tc>
        <w:tc>
          <w:tcPr>
            <w:tcW w:w="19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tcMar>
              <w:top w:w="120" w:type="dxa"/>
              <w:left w:w="200" w:type="dxa"/>
              <w:bottom w:w="120" w:type="dxa"/>
              <w:right w:w="120" w:type="dxa"/>
            </w:tcMar>
            <w:hideMark/>
          </w:tcPr>
          <w:p w14:paraId="2F736CBE" w14:textId="77777777" w:rsidR="00FB7EC7" w:rsidRPr="00C05C03" w:rsidRDefault="00FB7EC7" w:rsidP="009D1B51">
            <w:pPr>
              <w:widowControl w:val="0"/>
              <w:spacing w:line="240" w:lineRule="atLeast"/>
            </w:pPr>
            <w:r w:rsidRPr="00C05C03">
              <w:t>Once a quarter</w:t>
            </w:r>
          </w:p>
        </w:tc>
        <w:tc>
          <w:tcPr>
            <w:tcW w:w="450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2F2F2"/>
            <w:tcMar>
              <w:top w:w="120" w:type="dxa"/>
              <w:left w:w="200" w:type="dxa"/>
              <w:bottom w:w="120" w:type="dxa"/>
              <w:right w:w="120" w:type="dxa"/>
            </w:tcMar>
            <w:hideMark/>
          </w:tcPr>
          <w:p w14:paraId="7A1F7EC0" w14:textId="77777777" w:rsidR="00FB7EC7" w:rsidRPr="00C05C03" w:rsidRDefault="00FB7EC7" w:rsidP="009D1B51">
            <w:pPr>
              <w:widowControl w:val="0"/>
              <w:spacing w:line="240" w:lineRule="atLeast"/>
            </w:pPr>
            <w:r w:rsidRPr="00C05C03">
              <w:t>Student will complete evaluation in E*Value</w:t>
            </w:r>
          </w:p>
        </w:tc>
      </w:tr>
      <w:tr w:rsidR="00FB7EC7" w:rsidRPr="00C05C03" w14:paraId="061DA2ED" w14:textId="77777777" w:rsidTr="009D1B51">
        <w:trPr>
          <w:trHeight w:val="684"/>
        </w:trPr>
        <w:tc>
          <w:tcPr>
            <w:tcW w:w="23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E3E5E4"/>
            <w:tcMar>
              <w:top w:w="120" w:type="dxa"/>
              <w:left w:w="200" w:type="dxa"/>
              <w:bottom w:w="120" w:type="dxa"/>
              <w:right w:w="120" w:type="dxa"/>
            </w:tcMar>
            <w:hideMark/>
          </w:tcPr>
          <w:p w14:paraId="4FD4F2FA" w14:textId="77777777" w:rsidR="00FB7EC7" w:rsidRPr="00C05C03" w:rsidRDefault="00FB7EC7" w:rsidP="009D1B51">
            <w:pPr>
              <w:widowControl w:val="0"/>
              <w:spacing w:line="240" w:lineRule="atLeast"/>
            </w:pPr>
            <w:r w:rsidRPr="00C05C03">
              <w:t>Final Summative Evaluation</w:t>
            </w:r>
          </w:p>
        </w:tc>
        <w:tc>
          <w:tcPr>
            <w:tcW w:w="19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3E5E4"/>
            <w:tcMar>
              <w:top w:w="120" w:type="dxa"/>
              <w:left w:w="200" w:type="dxa"/>
              <w:bottom w:w="120" w:type="dxa"/>
              <w:right w:w="120" w:type="dxa"/>
            </w:tcMar>
            <w:hideMark/>
          </w:tcPr>
          <w:p w14:paraId="377A3231" w14:textId="77777777" w:rsidR="00FB7EC7" w:rsidRPr="00C05C03" w:rsidRDefault="00FB7EC7" w:rsidP="009D1B51">
            <w:pPr>
              <w:widowControl w:val="0"/>
              <w:spacing w:line="240" w:lineRule="atLeast"/>
            </w:pPr>
            <w:r w:rsidRPr="00C05C03">
              <w:t>At the end of the clinical rotation</w:t>
            </w:r>
          </w:p>
        </w:tc>
        <w:tc>
          <w:tcPr>
            <w:tcW w:w="450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E3E5E4"/>
            <w:tcMar>
              <w:top w:w="120" w:type="dxa"/>
              <w:left w:w="200" w:type="dxa"/>
              <w:bottom w:w="120" w:type="dxa"/>
              <w:right w:w="120" w:type="dxa"/>
            </w:tcMar>
            <w:hideMark/>
          </w:tcPr>
          <w:p w14:paraId="65E465AE" w14:textId="77777777" w:rsidR="00FB7EC7" w:rsidRPr="00C05C03" w:rsidRDefault="00FB7EC7" w:rsidP="009D1B51">
            <w:pPr>
              <w:widowControl w:val="0"/>
              <w:spacing w:line="240" w:lineRule="atLeast"/>
            </w:pPr>
            <w:r w:rsidRPr="00C05C03">
              <w:t>FOR compiles all evaluations and e-mail correspondence to complete</w:t>
            </w:r>
          </w:p>
        </w:tc>
      </w:tr>
      <w:tr w:rsidR="00FB7EC7" w:rsidRPr="00C05C03" w14:paraId="3810414C" w14:textId="77777777" w:rsidTr="009D1B51">
        <w:trPr>
          <w:trHeight w:val="693"/>
        </w:trPr>
        <w:tc>
          <w:tcPr>
            <w:tcW w:w="23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E3E5E4"/>
            <w:tcMar>
              <w:top w:w="120" w:type="dxa"/>
              <w:left w:w="200" w:type="dxa"/>
              <w:bottom w:w="120" w:type="dxa"/>
              <w:right w:w="120" w:type="dxa"/>
            </w:tcMar>
            <w:hideMark/>
          </w:tcPr>
          <w:p w14:paraId="3A0001FD" w14:textId="77777777" w:rsidR="00FB7EC7" w:rsidRPr="00C05C03" w:rsidRDefault="00FB7EC7" w:rsidP="009D1B51">
            <w:pPr>
              <w:widowControl w:val="0"/>
              <w:spacing w:line="240" w:lineRule="atLeast"/>
            </w:pPr>
            <w:r w:rsidRPr="00C05C03">
              <w:t>Site Evaluation</w:t>
            </w:r>
          </w:p>
        </w:tc>
        <w:tc>
          <w:tcPr>
            <w:tcW w:w="19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3E5E4"/>
            <w:tcMar>
              <w:top w:w="120" w:type="dxa"/>
              <w:left w:w="200" w:type="dxa"/>
              <w:bottom w:w="120" w:type="dxa"/>
              <w:right w:w="120" w:type="dxa"/>
            </w:tcMar>
            <w:hideMark/>
          </w:tcPr>
          <w:p w14:paraId="2D5920FA" w14:textId="77777777" w:rsidR="00FB7EC7" w:rsidRPr="00C05C03" w:rsidRDefault="00FB7EC7" w:rsidP="009D1B51">
            <w:pPr>
              <w:widowControl w:val="0"/>
              <w:spacing w:line="240" w:lineRule="atLeast"/>
            </w:pPr>
            <w:r w:rsidRPr="00C05C03">
              <w:t>At the end of the clinical rotation</w:t>
            </w:r>
          </w:p>
        </w:tc>
        <w:tc>
          <w:tcPr>
            <w:tcW w:w="450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E3E5E4"/>
            <w:tcMar>
              <w:top w:w="120" w:type="dxa"/>
              <w:left w:w="200" w:type="dxa"/>
              <w:bottom w:w="120" w:type="dxa"/>
              <w:right w:w="120" w:type="dxa"/>
            </w:tcMar>
            <w:hideMark/>
          </w:tcPr>
          <w:p w14:paraId="4F52D709" w14:textId="77777777" w:rsidR="00FB7EC7" w:rsidRPr="00C05C03" w:rsidRDefault="00FB7EC7" w:rsidP="009D1B51">
            <w:pPr>
              <w:widowControl w:val="0"/>
              <w:spacing w:line="240" w:lineRule="atLeast"/>
            </w:pPr>
            <w:r w:rsidRPr="00C05C03">
              <w:t>Student completes and FOR reviews</w:t>
            </w:r>
          </w:p>
        </w:tc>
      </w:tr>
    </w:tbl>
    <w:p w14:paraId="43D26E70" w14:textId="77777777" w:rsidR="0001359B" w:rsidRDefault="0001359B" w:rsidP="0001359B">
      <w:pPr>
        <w:shd w:val="clear" w:color="auto" w:fill="FFFFFF"/>
        <w:overflowPunct/>
        <w:autoSpaceDE/>
        <w:autoSpaceDN/>
        <w:adjustRightInd/>
        <w:spacing w:after="100" w:afterAutospacing="1"/>
        <w:textAlignment w:val="auto"/>
        <w:rPr>
          <w:rFonts w:ascii="Helvetica Neue" w:hAnsi="Helvetica Neue"/>
          <w:b/>
          <w:bCs/>
          <w:color w:val="495057"/>
          <w:sz w:val="23"/>
          <w:szCs w:val="23"/>
          <w:lang w:val="en" w:eastAsia="zh-CN"/>
        </w:rPr>
      </w:pPr>
    </w:p>
    <w:p w14:paraId="077D606E" w14:textId="5E4979CC" w:rsidR="0001359B" w:rsidRPr="0001359B" w:rsidRDefault="0001359B" w:rsidP="0001359B">
      <w:pPr>
        <w:shd w:val="clear" w:color="auto" w:fill="FFFFFF"/>
        <w:overflowPunct/>
        <w:autoSpaceDE/>
        <w:autoSpaceDN/>
        <w:adjustRightInd/>
        <w:spacing w:after="100" w:afterAutospacing="1"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01359B">
        <w:rPr>
          <w:rFonts w:ascii="Helvetica Neue" w:hAnsi="Helvetica Neue"/>
          <w:b/>
          <w:bCs/>
          <w:color w:val="495057"/>
          <w:sz w:val="23"/>
          <w:szCs w:val="23"/>
          <w:lang w:val="en" w:eastAsia="zh-CN"/>
        </w:rPr>
        <w:t>Ambulatory process:</w:t>
      </w:r>
    </w:p>
    <w:p w14:paraId="6FE91D12" w14:textId="77777777" w:rsidR="0001359B" w:rsidRPr="0001359B" w:rsidRDefault="0001359B" w:rsidP="0001359B">
      <w:pPr>
        <w:numPr>
          <w:ilvl w:val="0"/>
          <w:numId w:val="1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01359B">
        <w:rPr>
          <w:rFonts w:ascii="Helvetica Neue" w:hAnsi="Helvetica Neue"/>
          <w:color w:val="495057"/>
          <w:sz w:val="23"/>
          <w:szCs w:val="23"/>
          <w:lang w:val="en" w:eastAsia="zh-CN"/>
        </w:rPr>
        <w:t>Each Shift:</w:t>
      </w:r>
    </w:p>
    <w:p w14:paraId="5ED6A3E9" w14:textId="5EBF7151" w:rsidR="0001359B" w:rsidRPr="0001359B" w:rsidRDefault="0001359B" w:rsidP="0001359B">
      <w:pPr>
        <w:numPr>
          <w:ilvl w:val="1"/>
          <w:numId w:val="1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01359B">
        <w:rPr>
          <w:rFonts w:ascii="Helvetica Neue" w:hAnsi="Helvetica Neue"/>
          <w:color w:val="495057"/>
          <w:sz w:val="23"/>
          <w:szCs w:val="23"/>
          <w:lang w:val="en" w:eastAsia="zh-CN"/>
        </w:rPr>
        <w:t>Start each shift with review of goals based on competency portfolio and previous session. End each shift with goal setting.</w:t>
      </w:r>
      <w:r>
        <w:rPr>
          <w:rFonts w:ascii="Helvetica Neue" w:hAnsi="Helvetica Neue"/>
          <w:color w:val="495057"/>
          <w:sz w:val="23"/>
          <w:szCs w:val="23"/>
          <w:lang w:eastAsia="zh-CN"/>
        </w:rPr>
        <w:t xml:space="preserve"> (</w:t>
      </w:r>
      <w:r w:rsidRPr="0001359B">
        <w:rPr>
          <w:rFonts w:ascii="Helvetica Neue" w:hAnsi="Helvetica Neue"/>
          <w:color w:val="495057"/>
          <w:sz w:val="23"/>
          <w:szCs w:val="23"/>
          <w:lang w:val="en" w:eastAsia="zh-CN"/>
        </w:rPr>
        <w:t>FOR will collect paper goal sheets at the end of each quarter.</w:t>
      </w:r>
      <w:r>
        <w:rPr>
          <w:rFonts w:ascii="Helvetica Neue" w:hAnsi="Helvetica Neue"/>
          <w:color w:val="495057"/>
          <w:sz w:val="23"/>
          <w:szCs w:val="23"/>
          <w:lang w:val="en" w:eastAsia="zh-CN"/>
        </w:rPr>
        <w:t>)</w:t>
      </w:r>
    </w:p>
    <w:p w14:paraId="6B5B0DB0" w14:textId="49D91CC7" w:rsidR="0001359B" w:rsidRPr="0001359B" w:rsidRDefault="0001359B" w:rsidP="0001359B">
      <w:pPr>
        <w:pStyle w:val="ListParagraph"/>
        <w:numPr>
          <w:ilvl w:val="1"/>
          <w:numId w:val="1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01359B">
        <w:rPr>
          <w:rFonts w:ascii="Helvetica Neue" w:hAnsi="Helvetica Neue"/>
          <w:color w:val="495057"/>
          <w:sz w:val="23"/>
          <w:szCs w:val="23"/>
          <w:lang w:val="en" w:eastAsia="zh-CN"/>
        </w:rPr>
        <w:t xml:space="preserve">Students will log each clinical session in their “Competency Portfolio” using the date and a </w:t>
      </w:r>
      <w:proofErr w:type="spellStart"/>
      <w:r w:rsidRPr="0001359B">
        <w:rPr>
          <w:rFonts w:ascii="Helvetica Neue" w:hAnsi="Helvetica Neue"/>
          <w:color w:val="495057"/>
          <w:sz w:val="23"/>
          <w:szCs w:val="23"/>
          <w:lang w:val="en" w:eastAsia="zh-CN"/>
        </w:rPr>
        <w:t>self assessment</w:t>
      </w:r>
      <w:proofErr w:type="spellEnd"/>
      <w:r w:rsidRPr="0001359B">
        <w:rPr>
          <w:rFonts w:ascii="Helvetica Neue" w:hAnsi="Helvetica Neue"/>
          <w:color w:val="495057"/>
          <w:sz w:val="23"/>
          <w:szCs w:val="23"/>
          <w:lang w:val="en" w:eastAsia="zh-CN"/>
        </w:rPr>
        <w:t xml:space="preserve"> of level of performance (may have many dates in one box)</w:t>
      </w:r>
    </w:p>
    <w:p w14:paraId="6E17BEF8" w14:textId="44E7F5F6" w:rsidR="0001359B" w:rsidRPr="0001359B" w:rsidRDefault="0001359B" w:rsidP="0001359B">
      <w:pPr>
        <w:numPr>
          <w:ilvl w:val="0"/>
          <w:numId w:val="1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01359B">
        <w:rPr>
          <w:rFonts w:ascii="Helvetica Neue" w:hAnsi="Helvetica Neue"/>
          <w:color w:val="495057"/>
          <w:sz w:val="23"/>
          <w:szCs w:val="23"/>
          <w:lang w:val="en" w:eastAsia="zh-CN"/>
        </w:rPr>
        <w:t>2-3 times a quarter: Formative Evaluations: Sent Ad hoc 2 -3 times a quarter for the preceptor to fill out. FOR will prompt students to send evaluations.</w:t>
      </w:r>
      <w:bookmarkStart w:id="0" w:name="_GoBack"/>
      <w:bookmarkEnd w:id="0"/>
    </w:p>
    <w:p w14:paraId="064910BE" w14:textId="77777777" w:rsidR="0001359B" w:rsidRPr="0001359B" w:rsidRDefault="0001359B" w:rsidP="0001359B">
      <w:pPr>
        <w:numPr>
          <w:ilvl w:val="0"/>
          <w:numId w:val="1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01359B">
        <w:rPr>
          <w:rFonts w:ascii="Helvetica Neue" w:hAnsi="Helvetica Neue"/>
          <w:color w:val="495057"/>
          <w:sz w:val="23"/>
          <w:szCs w:val="23"/>
          <w:lang w:val="en" w:eastAsia="zh-CN"/>
        </w:rPr>
        <w:t>At the end of the quarter</w:t>
      </w:r>
    </w:p>
    <w:p w14:paraId="3C14062A" w14:textId="77777777" w:rsidR="0001359B" w:rsidRPr="0001359B" w:rsidRDefault="0001359B" w:rsidP="0001359B">
      <w:pPr>
        <w:numPr>
          <w:ilvl w:val="1"/>
          <w:numId w:val="3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01359B">
        <w:rPr>
          <w:rFonts w:ascii="Helvetica Neue" w:hAnsi="Helvetica Neue"/>
          <w:color w:val="495057"/>
          <w:sz w:val="23"/>
          <w:szCs w:val="23"/>
          <w:lang w:val="en" w:eastAsia="zh-CN"/>
        </w:rPr>
        <w:t>Student completes quarterly preceptor evals, ad hoc (prompted by FOR)</w:t>
      </w:r>
    </w:p>
    <w:p w14:paraId="673D5B7D" w14:textId="77777777" w:rsidR="0001359B" w:rsidRPr="0001359B" w:rsidRDefault="0001359B" w:rsidP="0001359B">
      <w:pPr>
        <w:numPr>
          <w:ilvl w:val="1"/>
          <w:numId w:val="3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01359B">
        <w:rPr>
          <w:rFonts w:ascii="Helvetica Neue" w:hAnsi="Helvetica Neue"/>
          <w:color w:val="495057"/>
          <w:sz w:val="23"/>
          <w:szCs w:val="23"/>
          <w:lang w:val="en" w:eastAsia="zh-CN"/>
        </w:rPr>
        <w:t xml:space="preserve">Student </w:t>
      </w:r>
      <w:proofErr w:type="gramStart"/>
      <w:r w:rsidRPr="0001359B">
        <w:rPr>
          <w:rFonts w:ascii="Helvetica Neue" w:hAnsi="Helvetica Neue"/>
          <w:color w:val="495057"/>
          <w:sz w:val="23"/>
          <w:szCs w:val="23"/>
          <w:lang w:val="en" w:eastAsia="zh-CN"/>
        </w:rPr>
        <w:t>completes  site</w:t>
      </w:r>
      <w:proofErr w:type="gramEnd"/>
      <w:r w:rsidRPr="0001359B">
        <w:rPr>
          <w:rFonts w:ascii="Helvetica Neue" w:hAnsi="Helvetica Neue"/>
          <w:color w:val="495057"/>
          <w:sz w:val="23"/>
          <w:szCs w:val="23"/>
          <w:lang w:val="en" w:eastAsia="zh-CN"/>
        </w:rPr>
        <w:t xml:space="preserve"> evals, ad hoc after rotation (prompted by FOR)</w:t>
      </w:r>
    </w:p>
    <w:p w14:paraId="37EBA945" w14:textId="716B1B92" w:rsidR="0001359B" w:rsidRPr="0001359B" w:rsidRDefault="0001359B" w:rsidP="0001359B">
      <w:pPr>
        <w:numPr>
          <w:ilvl w:val="1"/>
          <w:numId w:val="3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01359B">
        <w:rPr>
          <w:rFonts w:ascii="Helvetica Neue" w:hAnsi="Helvetica Neue"/>
          <w:color w:val="495057"/>
          <w:sz w:val="23"/>
          <w:szCs w:val="23"/>
          <w:lang w:val="en" w:eastAsia="zh-CN"/>
        </w:rPr>
        <w:t>Student reviews Competency Portfolio with preceptor and preceptor completes evaluation and goal setting at the bottom of the page.</w:t>
      </w:r>
    </w:p>
    <w:p w14:paraId="350DA680" w14:textId="00D16A66" w:rsidR="0001359B" w:rsidRPr="0001359B" w:rsidRDefault="0001359B" w:rsidP="0001359B">
      <w:pPr>
        <w:numPr>
          <w:ilvl w:val="1"/>
          <w:numId w:val="3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>
        <w:rPr>
          <w:rFonts w:ascii="Helvetica Neue" w:hAnsi="Helvetica Neue"/>
          <w:color w:val="495057"/>
          <w:sz w:val="23"/>
          <w:szCs w:val="23"/>
          <w:lang w:val="en" w:eastAsia="zh-CN"/>
        </w:rPr>
        <w:t>FOR collects copy of goal setting sheet</w:t>
      </w:r>
    </w:p>
    <w:p w14:paraId="66C99441" w14:textId="77777777" w:rsidR="0001359B" w:rsidRPr="0001359B" w:rsidRDefault="0001359B" w:rsidP="0001359B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  <w:lang w:eastAsia="zh-CN"/>
        </w:rPr>
      </w:pPr>
      <w:r w:rsidRPr="0001359B">
        <w:rPr>
          <w:rFonts w:ascii="Helvetica Neue" w:hAnsi="Helvetica Neue"/>
          <w:color w:val="495057"/>
          <w:sz w:val="23"/>
          <w:szCs w:val="23"/>
          <w:shd w:val="clear" w:color="auto" w:fill="FFFFFF"/>
          <w:lang w:val="en" w:eastAsia="zh-CN"/>
        </w:rPr>
        <w:lastRenderedPageBreak/>
        <w:t xml:space="preserve">At the end </w:t>
      </w:r>
      <w:proofErr w:type="gramStart"/>
      <w:r w:rsidRPr="0001359B">
        <w:rPr>
          <w:rFonts w:ascii="Helvetica Neue" w:hAnsi="Helvetica Neue"/>
          <w:color w:val="495057"/>
          <w:sz w:val="23"/>
          <w:szCs w:val="23"/>
          <w:shd w:val="clear" w:color="auto" w:fill="FFFFFF"/>
          <w:lang w:val="en" w:eastAsia="zh-CN"/>
        </w:rPr>
        <w:t>of  in</w:t>
      </w:r>
      <w:proofErr w:type="gramEnd"/>
      <w:r w:rsidRPr="0001359B">
        <w:rPr>
          <w:rFonts w:ascii="Helvetica Neue" w:hAnsi="Helvetica Neue"/>
          <w:color w:val="495057"/>
          <w:sz w:val="23"/>
          <w:szCs w:val="23"/>
          <w:shd w:val="clear" w:color="auto" w:fill="FFFFFF"/>
          <w:lang w:val="en" w:eastAsia="zh-CN"/>
        </w:rPr>
        <w:t>-progress, multi-quarter course (N414.15A/N414.15D) the FOR completes the  final summative evaluation with input from preceptors</w:t>
      </w:r>
    </w:p>
    <w:p w14:paraId="62A5CFF5" w14:textId="77777777" w:rsidR="00FB7EC7" w:rsidRPr="0001359B" w:rsidRDefault="00FB7EC7" w:rsidP="00FB7EC7">
      <w:pPr>
        <w:widowControl w:val="0"/>
        <w:spacing w:line="240" w:lineRule="atLeast"/>
        <w:rPr>
          <w:lang w:val="en"/>
        </w:rPr>
      </w:pPr>
    </w:p>
    <w:sectPr w:rsidR="00FB7EC7" w:rsidRPr="0001359B" w:rsidSect="00301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33E68"/>
    <w:multiLevelType w:val="multilevel"/>
    <w:tmpl w:val="7870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9407E3"/>
    <w:multiLevelType w:val="multilevel"/>
    <w:tmpl w:val="7870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C7"/>
    <w:rsid w:val="0001359B"/>
    <w:rsid w:val="00301911"/>
    <w:rsid w:val="003D058A"/>
    <w:rsid w:val="00794B2A"/>
    <w:rsid w:val="00FB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3E8FFE"/>
  <w15:chartTrackingRefBased/>
  <w15:docId w15:val="{700920C2-D634-ED4F-A9F0-E955E0D9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EC7"/>
    <w:pPr>
      <w:overflowPunct w:val="0"/>
      <w:autoSpaceDE w:val="0"/>
      <w:autoSpaceDN w:val="0"/>
      <w:adjustRightInd w:val="0"/>
      <w:textAlignment w:val="baseline"/>
    </w:pPr>
    <w:rPr>
      <w:rFonts w:ascii="Times" w:eastAsia="Times New Roman" w:hAnsi="Times" w:cs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E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EC7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Hyperlink">
    <w:name w:val="Hyperlink"/>
    <w:rsid w:val="00FB7E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135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13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4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Rebekah</dc:creator>
  <cp:keywords/>
  <dc:description/>
  <cp:lastModifiedBy>Kaplan, Rebekah</cp:lastModifiedBy>
  <cp:revision>2</cp:revision>
  <dcterms:created xsi:type="dcterms:W3CDTF">2019-12-02T22:45:00Z</dcterms:created>
  <dcterms:modified xsi:type="dcterms:W3CDTF">2019-12-02T22:57:00Z</dcterms:modified>
</cp:coreProperties>
</file>